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A49F" w14:textId="77777777" w:rsidR="00752A23" w:rsidRDefault="006372C7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  <w:r>
        <w:rPr>
          <w:rFonts w:ascii="Franklin Gothic Book" w:hAnsi="Franklin Gothic Book"/>
          <w:b/>
          <w:noProof/>
          <w:sz w:val="46"/>
          <w:szCs w:val="46"/>
          <w:lang w:eastAsia="ko-KR"/>
        </w:rPr>
        <w:pict w14:anchorId="2805AF44">
          <v:shapetype id="_x0000_t202" coordsize="21600,21600" o:spt="202" path="m,l,21600r21600,l21600,xe">
            <v:stroke joinstyle="miter"/>
            <v:path gradientshapeok="t" o:connecttype="rect"/>
          </v:shapetype>
          <v:shape id="_x0000_s2081" type="#_x0000_t202" style="position:absolute;left:0;text-align:left;margin-left:-6.45pt;margin-top:5.55pt;width:510pt;height:51.55pt;z-index:251658240" filled="f" fillcolor="#8db3e2" stroked="f">
            <v:textbox style="mso-next-textbox:#_x0000_s2081">
              <w:txbxContent>
                <w:p w14:paraId="1E1C4BB1" w14:textId="3C3BFC87" w:rsidR="00266F0D" w:rsidRDefault="002D23BE" w:rsidP="003E3C59">
                  <w:pPr>
                    <w:tabs>
                      <w:tab w:val="right" w:pos="9540"/>
                    </w:tabs>
                  </w:pPr>
                  <w:r>
                    <w:rPr>
                      <w:rFonts w:ascii="Franklin Gothic Heavy" w:hAnsi="Franklin Gothic Heavy"/>
                      <w:sz w:val="40"/>
                      <w:szCs w:val="40"/>
                    </w:rPr>
                    <w:t>Tailoring Workshop</w:t>
                  </w:r>
                </w:p>
              </w:txbxContent>
            </v:textbox>
            <w10:wrap type="square"/>
          </v:shape>
        </w:pict>
      </w:r>
      <w:r>
        <w:rPr>
          <w:rFonts w:ascii="Franklin Gothic Book" w:hAnsi="Franklin Gothic Book"/>
          <w:b/>
          <w:noProof/>
          <w:sz w:val="46"/>
          <w:szCs w:val="46"/>
        </w:rPr>
        <w:pict w14:anchorId="7D2190A7">
          <v:rect id="_x0000_s2084" style="position:absolute;left:0;text-align:left;margin-left:2.25pt;margin-top:-87pt;width:56.25pt;height:798pt;z-index:251660288" fillcolor="#00b050" strokecolor="#f2f2f2" strokeweight="3pt">
            <v:fill opacity="52429f"/>
            <v:shadow on="t" type="perspective" color="#243f60" opacity=".5" offset="1pt" offset2="-1pt"/>
          </v:rect>
        </w:pict>
      </w:r>
      <w:r>
        <w:rPr>
          <w:rFonts w:ascii="Franklin Gothic Book" w:hAnsi="Franklin Gothic Book"/>
          <w:b/>
          <w:noProof/>
          <w:sz w:val="46"/>
          <w:szCs w:val="46"/>
        </w:rPr>
        <w:pict w14:anchorId="0BB7456A">
          <v:rect id="_x0000_s2083" style="position:absolute;left:0;text-align:left;margin-left:518.85pt;margin-top:-91.5pt;width:51.45pt;height:802.5pt;z-index:251659264" fillcolor="#365f91" strokecolor="#f2f2f2" strokeweight="3pt">
            <v:shadow on="t" type="perspective" color="#243f60" opacity=".5" offset="1pt" offset2="-1pt"/>
          </v:rect>
        </w:pict>
      </w:r>
      <w:r w:rsidR="00763A54">
        <w:rPr>
          <w:rFonts w:ascii="Times New Roman" w:hAnsi="Times New Roman"/>
          <w:sz w:val="22"/>
        </w:rPr>
        <w:t xml:space="preserve"> </w:t>
      </w:r>
    </w:p>
    <w:p w14:paraId="5C4524FA" w14:textId="77777777" w:rsidR="00752A23" w:rsidRDefault="00752A23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</w:p>
    <w:p w14:paraId="63A87405" w14:textId="77777777" w:rsidR="00752A23" w:rsidRDefault="00752A23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</w:p>
    <w:p w14:paraId="5077BE8E" w14:textId="77777777" w:rsidR="00752A23" w:rsidRDefault="00752A23" w:rsidP="00752A23">
      <w:pPr>
        <w:pStyle w:val="BodyText3"/>
        <w:spacing w:before="120"/>
        <w:ind w:right="576"/>
        <w:rPr>
          <w:rFonts w:ascii="Times New Roman" w:hAnsi="Times New Roman"/>
          <w:sz w:val="22"/>
        </w:rPr>
      </w:pPr>
    </w:p>
    <w:p w14:paraId="1CD62627" w14:textId="77777777" w:rsidR="000A56BD" w:rsidRDefault="00BE6550" w:rsidP="003B2F44">
      <w:pPr>
        <w:pStyle w:val="PMtextChar"/>
        <w:ind w:left="-110" w:right="756"/>
      </w:pPr>
      <w:r>
        <w:t xml:space="preserve">This workshop </w:t>
      </w:r>
      <w:r w:rsidR="007E4DDB">
        <w:t xml:space="preserve">facilitates learning </w:t>
      </w:r>
      <w:r>
        <w:t xml:space="preserve">techniques </w:t>
      </w:r>
      <w:r w:rsidR="000A56BD">
        <w:t>to tailor the CMMI</w:t>
      </w:r>
      <w:r w:rsidR="000A56BD">
        <w:rPr>
          <w:vertAlign w:val="superscript"/>
        </w:rPr>
        <w:t>®</w:t>
      </w:r>
      <w:r w:rsidR="000A56BD">
        <w:t xml:space="preserve"> to fit your organizational needs.</w:t>
      </w:r>
      <w:r w:rsidR="00FB20A3">
        <w:t xml:space="preserve"> It</w:t>
      </w:r>
      <w:r w:rsidR="007132D9">
        <w:t xml:space="preserve"> enable</w:t>
      </w:r>
      <w:r w:rsidR="00FB20A3">
        <w:t>s</w:t>
      </w:r>
      <w:r w:rsidR="007132D9">
        <w:t xml:space="preserve"> the participant to tailor organizational standard processes to fit </w:t>
      </w:r>
      <w:r w:rsidR="00FC7ED7">
        <w:t xml:space="preserve">different </w:t>
      </w:r>
      <w:r w:rsidR="007132D9">
        <w:t>process instantiations.</w:t>
      </w:r>
      <w:r w:rsidR="000A56BD">
        <w:t xml:space="preserve"> Tailoring the CMMI</w:t>
      </w:r>
      <w:r w:rsidR="000A56BD">
        <w:rPr>
          <w:vertAlign w:val="superscript"/>
        </w:rPr>
        <w:t>®</w:t>
      </w:r>
      <w:r w:rsidR="000A56BD">
        <w:t xml:space="preserve"> </w:t>
      </w:r>
      <w:r w:rsidR="00FC7ED7">
        <w:t xml:space="preserve">and your </w:t>
      </w:r>
      <w:r w:rsidR="007132D9">
        <w:t xml:space="preserve">standard process </w:t>
      </w:r>
      <w:r w:rsidR="00FC7ED7">
        <w:t xml:space="preserve">is </w:t>
      </w:r>
      <w:r w:rsidR="000A56BD">
        <w:t xml:space="preserve">crucial to </w:t>
      </w:r>
      <w:proofErr w:type="gramStart"/>
      <w:r w:rsidR="000A56BD">
        <w:t>ensure</w:t>
      </w:r>
      <w:proofErr w:type="gramEnd"/>
      <w:r w:rsidR="000A56BD">
        <w:t xml:space="preserve"> that the organization's practic</w:t>
      </w:r>
      <w:r w:rsidR="00FC7ED7">
        <w:t xml:space="preserve">es </w:t>
      </w:r>
      <w:r w:rsidR="004A6CB4">
        <w:t>are appropriate for</w:t>
      </w:r>
      <w:r w:rsidR="000A56BD">
        <w:t xml:space="preserve"> the environment in which they will be implemented. </w:t>
      </w:r>
      <w:r w:rsidR="000A56BD" w:rsidRPr="004A6CB4">
        <w:rPr>
          <w:b/>
          <w:color w:val="0070C0"/>
        </w:rPr>
        <w:t>Tailoring is an essential step</w:t>
      </w:r>
      <w:r w:rsidR="00860666">
        <w:t xml:space="preserve"> for</w:t>
      </w:r>
      <w:r w:rsidR="000A56BD">
        <w:t xml:space="preserve"> </w:t>
      </w:r>
      <w:r w:rsidR="00860666">
        <w:t>managers to apply</w:t>
      </w:r>
      <w:r w:rsidR="00FB20A3">
        <w:t xml:space="preserve"> </w:t>
      </w:r>
      <w:r w:rsidR="000A56BD">
        <w:t xml:space="preserve">appropriate </w:t>
      </w:r>
      <w:r w:rsidR="00860666">
        <w:t xml:space="preserve">guidance and criteria </w:t>
      </w:r>
      <w:r w:rsidR="00FC7ED7">
        <w:t xml:space="preserve">to </w:t>
      </w:r>
      <w:r w:rsidR="00860666">
        <w:t xml:space="preserve">define </w:t>
      </w:r>
      <w:r w:rsidR="00FB20A3">
        <w:t xml:space="preserve">processes </w:t>
      </w:r>
      <w:r w:rsidR="00860666">
        <w:t xml:space="preserve">for use </w:t>
      </w:r>
      <w:r w:rsidR="00FC7ED7">
        <w:t>on their projects</w:t>
      </w:r>
      <w:r w:rsidR="000A56BD">
        <w:t xml:space="preserve">. </w:t>
      </w:r>
      <w:r w:rsidR="00FC7ED7">
        <w:t>T</w:t>
      </w:r>
      <w:r w:rsidR="000A56BD">
        <w:t>ailoring ensure</w:t>
      </w:r>
      <w:r w:rsidR="007132D9">
        <w:t>s</w:t>
      </w:r>
      <w:r w:rsidR="000A56BD">
        <w:t xml:space="preserve"> </w:t>
      </w:r>
      <w:r w:rsidR="00FB20A3">
        <w:t xml:space="preserve">that </w:t>
      </w:r>
      <w:r w:rsidR="000A56BD">
        <w:t>the organization's local environment</w:t>
      </w:r>
      <w:r w:rsidR="00FC7ED7">
        <w:t xml:space="preserve">, </w:t>
      </w:r>
      <w:r w:rsidR="000A56BD">
        <w:t>culture</w:t>
      </w:r>
      <w:r w:rsidR="00FC7ED7">
        <w:t xml:space="preserve">, and types of work are </w:t>
      </w:r>
      <w:r w:rsidR="000A56BD">
        <w:t>incorporated into t</w:t>
      </w:r>
      <w:r w:rsidR="00FC7ED7">
        <w:t xml:space="preserve">he process standard that they </w:t>
      </w:r>
      <w:r w:rsidR="004A6CB4">
        <w:t>need to comply with</w:t>
      </w:r>
      <w:r w:rsidR="000A56BD">
        <w:t>.</w:t>
      </w:r>
      <w:r w:rsidR="00FC7ED7">
        <w:t xml:space="preserve"> </w:t>
      </w:r>
      <w:r w:rsidR="007132D9">
        <w:t xml:space="preserve">The </w:t>
      </w:r>
      <w:r w:rsidR="007132D9" w:rsidRPr="007E4DDB">
        <w:rPr>
          <w:b/>
          <w:color w:val="0070C0"/>
        </w:rPr>
        <w:t xml:space="preserve">tailoring activity is a </w:t>
      </w:r>
      <w:r w:rsidR="00FC7ED7" w:rsidRPr="007E4DDB">
        <w:rPr>
          <w:b/>
          <w:color w:val="0070C0"/>
        </w:rPr>
        <w:t xml:space="preserve">key </w:t>
      </w:r>
      <w:r w:rsidR="007132D9" w:rsidRPr="007E4DDB">
        <w:rPr>
          <w:b/>
          <w:color w:val="0070C0"/>
        </w:rPr>
        <w:t>process requirement in CMMI Maturity Level 3</w:t>
      </w:r>
      <w:r w:rsidR="007132D9">
        <w:t xml:space="preserve">. </w:t>
      </w:r>
      <w:r w:rsidR="000A56BD">
        <w:t>Deliverables include workshop materials</w:t>
      </w:r>
      <w:r w:rsidR="007132D9">
        <w:t>,</w:t>
      </w:r>
      <w:r w:rsidR="000A56BD">
        <w:t xml:space="preserve"> and a </w:t>
      </w:r>
      <w:r w:rsidR="007132D9">
        <w:t xml:space="preserve">key outcome is a </w:t>
      </w:r>
      <w:r w:rsidR="000A56BD">
        <w:t>draft tailored CMMI</w:t>
      </w:r>
      <w:r w:rsidR="000A56BD">
        <w:rPr>
          <w:vertAlign w:val="superscript"/>
        </w:rPr>
        <w:t>®</w:t>
      </w:r>
      <w:r w:rsidR="007E4DDB">
        <w:t xml:space="preserve"> and/or tailored elements of your standard process.</w:t>
      </w:r>
    </w:p>
    <w:p w14:paraId="5E827477" w14:textId="77777777" w:rsidR="000A56BD" w:rsidRDefault="007132D9" w:rsidP="003B2F44">
      <w:pPr>
        <w:pStyle w:val="PMtextChar"/>
        <w:ind w:left="-110" w:right="756"/>
      </w:pPr>
      <w:r>
        <w:t xml:space="preserve">This </w:t>
      </w:r>
      <w:r w:rsidR="000A56BD">
        <w:t xml:space="preserve">tailoring workshop is </w:t>
      </w:r>
      <w:r w:rsidR="000A56BD" w:rsidRPr="004A6CB4">
        <w:rPr>
          <w:b/>
          <w:color w:val="0070C0"/>
        </w:rPr>
        <w:t>designed to tailor CMMI</w:t>
      </w:r>
      <w:r w:rsidR="000A56BD" w:rsidRPr="004A6CB4">
        <w:rPr>
          <w:b/>
          <w:color w:val="0070C0"/>
          <w:vertAlign w:val="superscript"/>
        </w:rPr>
        <w:t>®</w:t>
      </w:r>
      <w:r w:rsidR="000A56BD" w:rsidRPr="004A6CB4">
        <w:rPr>
          <w:b/>
          <w:color w:val="0070C0"/>
        </w:rPr>
        <w:t xml:space="preserve"> practices to fit </w:t>
      </w:r>
      <w:r w:rsidR="007E4DDB">
        <w:rPr>
          <w:b/>
          <w:color w:val="0070C0"/>
        </w:rPr>
        <w:t xml:space="preserve">your </w:t>
      </w:r>
      <w:r w:rsidR="000A56BD" w:rsidRPr="004A6CB4">
        <w:rPr>
          <w:b/>
          <w:color w:val="0070C0"/>
        </w:rPr>
        <w:t>organizational environment</w:t>
      </w:r>
      <w:r>
        <w:t xml:space="preserve">. </w:t>
      </w:r>
      <w:r w:rsidR="007E4DDB">
        <w:t>Draft t</w:t>
      </w:r>
      <w:r w:rsidR="000A56BD">
        <w:t xml:space="preserve">ailoring guidelines, criteria, and </w:t>
      </w:r>
      <w:r w:rsidR="00FC7ED7">
        <w:t xml:space="preserve">draft </w:t>
      </w:r>
      <w:r w:rsidR="000A56BD">
        <w:t>adjusted p</w:t>
      </w:r>
      <w:r w:rsidR="00FC7ED7">
        <w:t>rocesses for distinct product lines</w:t>
      </w:r>
      <w:r>
        <w:t xml:space="preserve"> or types of work</w:t>
      </w:r>
      <w:r w:rsidR="000A56BD">
        <w:t xml:space="preserve"> are typical outcomes </w:t>
      </w:r>
      <w:r w:rsidR="00FC7ED7">
        <w:t>this tailoring workshop</w:t>
      </w:r>
      <w:r w:rsidR="000A56BD">
        <w:t>.</w:t>
      </w:r>
      <w:r w:rsidR="007E4DDB">
        <w:t xml:space="preserve"> Subsequent workshops use outputs of this workshop to drill down </w:t>
      </w:r>
      <w:r w:rsidR="00BD66A9">
        <w:t xml:space="preserve">further </w:t>
      </w:r>
      <w:r w:rsidR="007E4DDB">
        <w:t>to tailored procedures and work aids.</w:t>
      </w:r>
    </w:p>
    <w:p w14:paraId="4DBAF250" w14:textId="77777777" w:rsidR="00763A54" w:rsidRPr="00BD73E7" w:rsidRDefault="00F54B3B" w:rsidP="003B2F44">
      <w:pPr>
        <w:pStyle w:val="BodyText3"/>
        <w:spacing w:before="120"/>
        <w:ind w:right="756"/>
        <w:rPr>
          <w:rFonts w:ascii="Times New Roman" w:hAnsi="Times New Roman"/>
          <w:sz w:val="22"/>
        </w:rPr>
      </w:pPr>
      <w:r w:rsidRPr="00BD73E7">
        <w:rPr>
          <w:rFonts w:ascii="Times New Roman" w:hAnsi="Times New Roman"/>
          <w:sz w:val="22"/>
        </w:rPr>
        <w:t>As a course participant you will</w:t>
      </w:r>
      <w:r w:rsidR="00763A54" w:rsidRPr="00BD73E7">
        <w:rPr>
          <w:rFonts w:ascii="Times New Roman" w:hAnsi="Times New Roman"/>
          <w:sz w:val="22"/>
        </w:rPr>
        <w:t xml:space="preserve"> </w:t>
      </w:r>
      <w:r w:rsidRPr="00BD73E7">
        <w:rPr>
          <w:rFonts w:ascii="Times New Roman" w:hAnsi="Times New Roman"/>
          <w:sz w:val="22"/>
        </w:rPr>
        <w:t xml:space="preserve">receive the foundational knowledge to enable you to </w:t>
      </w:r>
    </w:p>
    <w:p w14:paraId="17EED549" w14:textId="77777777" w:rsidR="00763A54" w:rsidRPr="00BD73E7" w:rsidRDefault="00763A54" w:rsidP="003B2F44">
      <w:pPr>
        <w:pStyle w:val="BodyText3"/>
        <w:numPr>
          <w:ilvl w:val="0"/>
          <w:numId w:val="16"/>
        </w:numPr>
        <w:ind w:right="756"/>
        <w:rPr>
          <w:rFonts w:ascii="Times New Roman" w:hAnsi="Times New Roman"/>
          <w:sz w:val="22"/>
        </w:rPr>
      </w:pPr>
      <w:r w:rsidRPr="004A6CB4">
        <w:rPr>
          <w:rFonts w:ascii="Times New Roman" w:hAnsi="Times New Roman"/>
          <w:b/>
          <w:color w:val="0070C0"/>
          <w:sz w:val="22"/>
        </w:rPr>
        <w:t>Understand</w:t>
      </w:r>
      <w:r w:rsidRPr="00BD73E7">
        <w:rPr>
          <w:rFonts w:ascii="Times New Roman" w:hAnsi="Times New Roman"/>
          <w:sz w:val="22"/>
        </w:rPr>
        <w:t xml:space="preserve"> the importance and benefi</w:t>
      </w:r>
      <w:r w:rsidR="000A56BD">
        <w:rPr>
          <w:rFonts w:ascii="Times New Roman" w:hAnsi="Times New Roman"/>
          <w:sz w:val="22"/>
        </w:rPr>
        <w:t>t</w:t>
      </w:r>
      <w:r w:rsidR="00FC7ED7">
        <w:rPr>
          <w:rFonts w:ascii="Times New Roman" w:hAnsi="Times New Roman"/>
          <w:sz w:val="22"/>
        </w:rPr>
        <w:t>s</w:t>
      </w:r>
      <w:r w:rsidR="000A56BD">
        <w:rPr>
          <w:rFonts w:ascii="Times New Roman" w:hAnsi="Times New Roman"/>
          <w:sz w:val="22"/>
        </w:rPr>
        <w:t xml:space="preserve"> of tailoring</w:t>
      </w:r>
      <w:r w:rsidRPr="00BD73E7">
        <w:rPr>
          <w:rFonts w:ascii="Times New Roman" w:hAnsi="Times New Roman"/>
          <w:sz w:val="22"/>
        </w:rPr>
        <w:t xml:space="preserve"> processes</w:t>
      </w:r>
      <w:r w:rsidR="000A56BD">
        <w:rPr>
          <w:rFonts w:ascii="Times New Roman" w:hAnsi="Times New Roman"/>
          <w:sz w:val="22"/>
        </w:rPr>
        <w:t xml:space="preserve"> from a defined standard</w:t>
      </w:r>
    </w:p>
    <w:p w14:paraId="40790C6A" w14:textId="77777777" w:rsidR="00763A54" w:rsidRPr="00BD73E7" w:rsidRDefault="004A6CB4" w:rsidP="003B2F44">
      <w:pPr>
        <w:pStyle w:val="BodyText3"/>
        <w:numPr>
          <w:ilvl w:val="0"/>
          <w:numId w:val="16"/>
        </w:numPr>
        <w:ind w:right="756"/>
        <w:rPr>
          <w:sz w:val="22"/>
        </w:rPr>
      </w:pPr>
      <w:r>
        <w:rPr>
          <w:rFonts w:ascii="Times New Roman" w:hAnsi="Times New Roman"/>
          <w:b/>
          <w:color w:val="0070C0"/>
          <w:sz w:val="22"/>
        </w:rPr>
        <w:t>P</w:t>
      </w:r>
      <w:r w:rsidR="00FC7ED7" w:rsidRPr="004A6CB4">
        <w:rPr>
          <w:rFonts w:ascii="Times New Roman" w:hAnsi="Times New Roman"/>
          <w:b/>
          <w:color w:val="0070C0"/>
          <w:sz w:val="22"/>
        </w:rPr>
        <w:t>ractice</w:t>
      </w:r>
      <w:r w:rsidR="00FC7ED7">
        <w:rPr>
          <w:rFonts w:ascii="Times New Roman" w:hAnsi="Times New Roman"/>
          <w:sz w:val="22"/>
        </w:rPr>
        <w:t xml:space="preserve"> </w:t>
      </w:r>
      <w:r w:rsidR="00763A54" w:rsidRPr="00BD73E7">
        <w:rPr>
          <w:rFonts w:ascii="Times New Roman" w:hAnsi="Times New Roman"/>
          <w:sz w:val="22"/>
        </w:rPr>
        <w:t>fundamental</w:t>
      </w:r>
      <w:r w:rsidR="00EC3B80" w:rsidRPr="00BD73E7">
        <w:rPr>
          <w:rFonts w:ascii="Times New Roman" w:hAnsi="Times New Roman"/>
          <w:sz w:val="22"/>
        </w:rPr>
        <w:t xml:space="preserve"> </w:t>
      </w:r>
      <w:r w:rsidR="00BD66A9">
        <w:rPr>
          <w:rFonts w:ascii="Times New Roman" w:hAnsi="Times New Roman"/>
          <w:sz w:val="22"/>
        </w:rPr>
        <w:t>approaches by</w:t>
      </w:r>
      <w:r w:rsidR="00763A54" w:rsidRPr="00BD73E7">
        <w:rPr>
          <w:rFonts w:ascii="Times New Roman" w:hAnsi="Times New Roman"/>
          <w:sz w:val="22"/>
        </w:rPr>
        <w:t xml:space="preserve"> applying </w:t>
      </w:r>
      <w:r w:rsidR="000A56BD">
        <w:rPr>
          <w:rFonts w:ascii="Times New Roman" w:hAnsi="Times New Roman"/>
          <w:sz w:val="22"/>
        </w:rPr>
        <w:t xml:space="preserve">tailoring concepts in your environment </w:t>
      </w:r>
    </w:p>
    <w:p w14:paraId="7EDE0F80" w14:textId="77777777" w:rsidR="00763A54" w:rsidRPr="00BD73E7" w:rsidRDefault="006372C7" w:rsidP="00752A23">
      <w:pPr>
        <w:ind w:right="756"/>
        <w:rPr>
          <w:b/>
        </w:rPr>
      </w:pPr>
      <w:r>
        <w:rPr>
          <w:b/>
          <w:noProof/>
        </w:rPr>
        <w:pict w14:anchorId="10EEB8F8">
          <v:shape id="_x0000_s2058" type="#_x0000_t202" style="position:absolute;margin-left:257.85pt;margin-top:14.1pt;width:261pt;height:300.45pt;z-index:251656192" stroked="f">
            <v:textbox style="mso-next-textbox:#_x0000_s2058">
              <w:txbxContent>
                <w:p w14:paraId="4A47BB81" w14:textId="77777777" w:rsidR="00062852" w:rsidRPr="00BD73E7" w:rsidRDefault="00062852" w:rsidP="00062852">
                  <w:pPr>
                    <w:pStyle w:val="Heading1"/>
                    <w:jc w:val="left"/>
                    <w:rPr>
                      <w:b/>
                      <w:sz w:val="20"/>
                      <w:u w:val="single"/>
                    </w:rPr>
                  </w:pPr>
                  <w:r w:rsidRPr="00BD73E7">
                    <w:rPr>
                      <w:b/>
                      <w:sz w:val="20"/>
                      <w:u w:val="single"/>
                    </w:rPr>
                    <w:t xml:space="preserve">Prerequisites  </w:t>
                  </w:r>
                </w:p>
                <w:p w14:paraId="3CF11EAD" w14:textId="77777777" w:rsidR="00062852" w:rsidRPr="008F3B42" w:rsidRDefault="003B2F44" w:rsidP="008F3B42">
                  <w:pPr>
                    <w:numPr>
                      <w:ilvl w:val="0"/>
                      <w:numId w:val="21"/>
                    </w:numPr>
                    <w:spacing w:before="60"/>
                    <w:rPr>
                      <w:iCs/>
                    </w:rPr>
                  </w:pPr>
                  <w:r w:rsidRPr="008F3B42">
                    <w:t>CMMI</w:t>
                  </w:r>
                  <w:r w:rsidR="00E26083" w:rsidRPr="008F3B42">
                    <w:t xml:space="preserve"> </w:t>
                  </w:r>
                  <w:r w:rsidR="00721FA1">
                    <w:t xml:space="preserve">Foundations </w:t>
                  </w:r>
                  <w:r w:rsidR="00E26083" w:rsidRPr="008F3B42">
                    <w:t>training</w:t>
                  </w:r>
                  <w:r w:rsidR="00FC7ED7" w:rsidRPr="008F3B42">
                    <w:t xml:space="preserve"> </w:t>
                  </w:r>
                  <w:r w:rsidRPr="008F3B42">
                    <w:t>or equivalent</w:t>
                  </w:r>
                </w:p>
                <w:p w14:paraId="0932B263" w14:textId="77777777" w:rsidR="00E26083" w:rsidRPr="008F3B42" w:rsidRDefault="00E26083" w:rsidP="008F3B42">
                  <w:pPr>
                    <w:numPr>
                      <w:ilvl w:val="0"/>
                      <w:numId w:val="21"/>
                    </w:numPr>
                    <w:spacing w:before="60"/>
                  </w:pPr>
                  <w:r w:rsidRPr="008F3B42">
                    <w:t xml:space="preserve">Familiarity with target projects and standard processes which </w:t>
                  </w:r>
                  <w:r w:rsidR="007435E4" w:rsidRPr="008F3B42">
                    <w:t>will be subject to tailoring</w:t>
                  </w:r>
                </w:p>
                <w:p w14:paraId="78F223C7" w14:textId="77777777" w:rsidR="00763A54" w:rsidRPr="00BD73E7" w:rsidRDefault="00763A54">
                  <w:pPr>
                    <w:rPr>
                      <w:b/>
                    </w:rPr>
                  </w:pPr>
                </w:p>
                <w:p w14:paraId="7C5382C0" w14:textId="77777777" w:rsidR="00763A54" w:rsidRPr="00BD73E7" w:rsidRDefault="00763A54" w:rsidP="00062852">
                  <w:pPr>
                    <w:pStyle w:val="Heading3"/>
                    <w:ind w:left="0"/>
                    <w:rPr>
                      <w:u w:val="single"/>
                    </w:rPr>
                  </w:pPr>
                  <w:r w:rsidRPr="00BD73E7">
                    <w:rPr>
                      <w:u w:val="single"/>
                    </w:rPr>
                    <w:t>Who Will Benefit</w:t>
                  </w:r>
                </w:p>
                <w:p w14:paraId="2ACBEA86" w14:textId="77777777" w:rsidR="00763A54" w:rsidRPr="008F3B42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bCs/>
                    </w:rPr>
                  </w:pPr>
                  <w:r w:rsidRPr="008F3B42">
                    <w:t xml:space="preserve">Practitioners and managers </w:t>
                  </w:r>
                  <w:r w:rsidR="00FC7ED7" w:rsidRPr="008F3B42">
                    <w:t>resp</w:t>
                  </w:r>
                  <w:r w:rsidR="007435E4" w:rsidRPr="008F3B42">
                    <w:t>onsible for tailoring processes</w:t>
                  </w:r>
                </w:p>
                <w:p w14:paraId="6BF0EA5F" w14:textId="77777777" w:rsidR="0000799A" w:rsidRPr="008F3B42" w:rsidRDefault="0000799A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rFonts w:ascii="Bookman Old Style" w:hAnsi="Bookman Old Style"/>
                      <w:bCs/>
                    </w:rPr>
                  </w:pPr>
                  <w:r w:rsidRPr="008F3B42">
                    <w:rPr>
                      <w:bCs/>
                    </w:rPr>
                    <w:t>Process designers responsible for defining or</w:t>
                  </w:r>
                  <w:r w:rsidR="007435E4" w:rsidRPr="008F3B42">
                    <w:rPr>
                      <w:bCs/>
                    </w:rPr>
                    <w:t>ganizational standard processes</w:t>
                  </w:r>
                </w:p>
                <w:p w14:paraId="145C3A99" w14:textId="77777777" w:rsidR="00763A54" w:rsidRPr="008F3B42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rFonts w:ascii="Bookman Old Style" w:hAnsi="Bookman Old Style"/>
                      <w:bCs/>
                    </w:rPr>
                  </w:pPr>
                  <w:r w:rsidRPr="008F3B42">
                    <w:rPr>
                      <w:bCs/>
                    </w:rPr>
                    <w:t>Process group</w:t>
                  </w:r>
                  <w:r w:rsidR="00FC7ED7" w:rsidRPr="008F3B42">
                    <w:rPr>
                      <w:bCs/>
                    </w:rPr>
                    <w:t xml:space="preserve"> members </w:t>
                  </w:r>
                  <w:r w:rsidRPr="008F3B42">
                    <w:rPr>
                      <w:bCs/>
                    </w:rPr>
                    <w:t>responsible for leading process improvement programs</w:t>
                  </w:r>
                </w:p>
                <w:p w14:paraId="3140AB44" w14:textId="77777777" w:rsidR="00062852" w:rsidRPr="00BD73E7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b/>
                      <w:u w:val="single"/>
                    </w:rPr>
                  </w:pPr>
                </w:p>
                <w:p w14:paraId="18F72593" w14:textId="77777777" w:rsidR="00062852" w:rsidRPr="00BD73E7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b/>
                      <w:u w:val="single"/>
                    </w:rPr>
                  </w:pPr>
                  <w:r w:rsidRPr="00BD73E7">
                    <w:rPr>
                      <w:rFonts w:ascii="Bookman Old Style" w:hAnsi="Bookman Old Style"/>
                      <w:b/>
                      <w:u w:val="single"/>
                    </w:rPr>
                    <w:t xml:space="preserve">Client Site Logistics Requirements </w:t>
                  </w:r>
                </w:p>
                <w:p w14:paraId="5C693205" w14:textId="77777777" w:rsidR="00062852" w:rsidRPr="008F3B42" w:rsidRDefault="00062852" w:rsidP="00062852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bCs/>
                    </w:rPr>
                  </w:pPr>
                  <w:r w:rsidRPr="008F3B42">
                    <w:rPr>
                      <w:bCs/>
                    </w:rPr>
                    <w:t>LCD projector and screen</w:t>
                  </w:r>
                </w:p>
                <w:p w14:paraId="4AB0DDCE" w14:textId="77777777" w:rsidR="00062852" w:rsidRPr="008F3B42" w:rsidRDefault="00062852" w:rsidP="00062852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 w:rsidRPr="008F3B42">
                    <w:rPr>
                      <w:bCs/>
                    </w:rPr>
                    <w:t>Flip charts</w:t>
                  </w:r>
                  <w:r w:rsidR="0000799A" w:rsidRPr="008F3B42">
                    <w:rPr>
                      <w:bCs/>
                    </w:rPr>
                    <w:t xml:space="preserve"> and markers</w:t>
                  </w:r>
                </w:p>
                <w:p w14:paraId="7E3A0891" w14:textId="77777777" w:rsidR="00062852" w:rsidRPr="00524FB6" w:rsidRDefault="003B2F44" w:rsidP="00062852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 w:rsidRPr="008F3B42">
                    <w:rPr>
                      <w:bCs/>
                    </w:rPr>
                    <w:t>Classroom for 15</w:t>
                  </w:r>
                  <w:r w:rsidR="00062852" w:rsidRPr="008F3B42">
                    <w:rPr>
                      <w:bCs/>
                    </w:rPr>
                    <w:t xml:space="preserve"> participants and 1 instructor</w:t>
                  </w:r>
                </w:p>
                <w:p w14:paraId="13678FA0" w14:textId="77777777" w:rsidR="00524FB6" w:rsidRPr="008F3B42" w:rsidRDefault="00524FB6" w:rsidP="00062852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>This is an asset building workshop. Organizations are expected to provide standard processes for use in workshop exercises.</w:t>
                  </w:r>
                </w:p>
                <w:p w14:paraId="06FDA4CD" w14:textId="77777777" w:rsidR="00763A54" w:rsidRPr="00BD73E7" w:rsidRDefault="00763A54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noProof/>
        </w:rPr>
        <w:pict w14:anchorId="313AC42F">
          <v:shape id="_x0000_s2057" type="#_x0000_t202" style="position:absolute;margin-left:9pt;margin-top:14.1pt;width:244.8pt;height:300.45pt;z-index:251655168" fillcolor="#00e668" stroked="f">
            <v:textbox style="mso-next-textbox:#_x0000_s2057">
              <w:txbxContent>
                <w:p w14:paraId="06D681AB" w14:textId="77777777" w:rsidR="00763A54" w:rsidRPr="008F3B42" w:rsidRDefault="004F13A6" w:rsidP="008F3B42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 w:rsidRPr="008F3B42">
                    <w:rPr>
                      <w:b/>
                      <w:sz w:val="20"/>
                      <w:u w:val="single"/>
                    </w:rPr>
                    <w:t>Course Content</w:t>
                  </w:r>
                </w:p>
                <w:p w14:paraId="6E3939F6" w14:textId="77777777" w:rsidR="005E043A" w:rsidRPr="008F3B42" w:rsidRDefault="005E043A" w:rsidP="008F3B42">
                  <w:pPr>
                    <w:numPr>
                      <w:ilvl w:val="0"/>
                      <w:numId w:val="20"/>
                    </w:numPr>
                    <w:shd w:val="clear" w:color="auto" w:fill="00E668"/>
                    <w:ind w:right="288"/>
                    <w:rPr>
                      <w:bCs/>
                    </w:rPr>
                  </w:pPr>
                  <w:r w:rsidRPr="008F3B42">
                    <w:rPr>
                      <w:bCs/>
                    </w:rPr>
                    <w:t>CMMI</w:t>
                  </w:r>
                  <w:r w:rsidRPr="008F3B42">
                    <w:rPr>
                      <w:vertAlign w:val="superscript"/>
                    </w:rPr>
                    <w:t>®</w:t>
                  </w:r>
                  <w:r w:rsidRPr="008F3B42">
                    <w:rPr>
                      <w:bCs/>
                    </w:rPr>
                    <w:t xml:space="preserve"> components</w:t>
                  </w:r>
                  <w:r w:rsidR="00AC3CF3" w:rsidRPr="008F3B42">
                    <w:rPr>
                      <w:bCs/>
                    </w:rPr>
                    <w:t xml:space="preserve"> refresher and Maturity </w:t>
                  </w:r>
                  <w:r w:rsidR="00FC7ED7" w:rsidRPr="008F3B42">
                    <w:rPr>
                      <w:bCs/>
                    </w:rPr>
                    <w:t xml:space="preserve">Level 3 </w:t>
                  </w:r>
                  <w:r w:rsidR="00AC3CF3" w:rsidRPr="008F3B42">
                    <w:rPr>
                      <w:bCs/>
                    </w:rPr>
                    <w:t>building blocks review</w:t>
                  </w:r>
                </w:p>
                <w:p w14:paraId="24717F17" w14:textId="77777777" w:rsidR="00AC3CF3" w:rsidRPr="008F3B42" w:rsidRDefault="00AC3CF3" w:rsidP="008F3B42">
                  <w:pPr>
                    <w:numPr>
                      <w:ilvl w:val="0"/>
                      <w:numId w:val="20"/>
                    </w:numPr>
                    <w:shd w:val="clear" w:color="auto" w:fill="00E668"/>
                    <w:ind w:right="288"/>
                    <w:rPr>
                      <w:bCs/>
                    </w:rPr>
                  </w:pPr>
                  <w:r w:rsidRPr="008F3B42">
                    <w:rPr>
                      <w:bCs/>
                    </w:rPr>
                    <w:t>Tailoring Overview</w:t>
                  </w:r>
                </w:p>
                <w:p w14:paraId="31255E69" w14:textId="77777777" w:rsidR="00AC3CF3" w:rsidRPr="008F3B42" w:rsidRDefault="00AC3CF3" w:rsidP="008F3B42">
                  <w:pPr>
                    <w:numPr>
                      <w:ilvl w:val="0"/>
                      <w:numId w:val="20"/>
                    </w:numPr>
                    <w:shd w:val="clear" w:color="auto" w:fill="00E668"/>
                    <w:ind w:right="288"/>
                    <w:rPr>
                      <w:bCs/>
                    </w:rPr>
                  </w:pPr>
                  <w:r w:rsidRPr="008F3B42">
                    <w:rPr>
                      <w:bCs/>
                    </w:rPr>
                    <w:t>Tailoring to the Environment</w:t>
                  </w:r>
                </w:p>
                <w:p w14:paraId="01A3BFCF" w14:textId="77777777" w:rsidR="00AC3CF3" w:rsidRPr="008F3B42" w:rsidRDefault="00AC3CF3" w:rsidP="008F3B42">
                  <w:pPr>
                    <w:numPr>
                      <w:ilvl w:val="0"/>
                      <w:numId w:val="20"/>
                    </w:numPr>
                    <w:shd w:val="clear" w:color="auto" w:fill="00E668"/>
                    <w:ind w:right="288"/>
                    <w:rPr>
                      <w:bCs/>
                    </w:rPr>
                  </w:pPr>
                  <w:r w:rsidRPr="008F3B42">
                    <w:rPr>
                      <w:bCs/>
                    </w:rPr>
                    <w:t>Tailoring Based on Process Attributes</w:t>
                  </w:r>
                </w:p>
                <w:p w14:paraId="02021DA1" w14:textId="77777777" w:rsidR="00AC3CF3" w:rsidRPr="008F3B42" w:rsidRDefault="00AC3CF3" w:rsidP="008F3B42">
                  <w:pPr>
                    <w:numPr>
                      <w:ilvl w:val="0"/>
                      <w:numId w:val="20"/>
                    </w:numPr>
                    <w:shd w:val="clear" w:color="auto" w:fill="00E668"/>
                    <w:ind w:right="288"/>
                    <w:rPr>
                      <w:bCs/>
                    </w:rPr>
                  </w:pPr>
                  <w:r w:rsidRPr="008F3B42">
                    <w:rPr>
                      <w:bCs/>
                    </w:rPr>
                    <w:t>Defining Tailoring Choice Sets</w:t>
                  </w:r>
                </w:p>
                <w:p w14:paraId="26374A29" w14:textId="77777777" w:rsidR="00AC3CF3" w:rsidRPr="008F3B42" w:rsidRDefault="00AC3CF3" w:rsidP="008F3B42">
                  <w:pPr>
                    <w:numPr>
                      <w:ilvl w:val="0"/>
                      <w:numId w:val="20"/>
                    </w:numPr>
                    <w:shd w:val="clear" w:color="auto" w:fill="00E668"/>
                    <w:ind w:right="288"/>
                    <w:rPr>
                      <w:bCs/>
                    </w:rPr>
                  </w:pPr>
                  <w:r w:rsidRPr="008F3B42">
                    <w:rPr>
                      <w:bCs/>
                    </w:rPr>
                    <w:t>Tailoring Practices</w:t>
                  </w:r>
                </w:p>
                <w:p w14:paraId="3224CD5D" w14:textId="77777777" w:rsidR="00AC3CF3" w:rsidRPr="008F3B42" w:rsidRDefault="008A5CB2" w:rsidP="008F3B42">
                  <w:pPr>
                    <w:numPr>
                      <w:ilvl w:val="0"/>
                      <w:numId w:val="20"/>
                    </w:numPr>
                    <w:shd w:val="clear" w:color="auto" w:fill="00E668"/>
                    <w:ind w:right="288"/>
                    <w:rPr>
                      <w:bCs/>
                    </w:rPr>
                  </w:pPr>
                  <w:r w:rsidRPr="008F3B42">
                    <w:rPr>
                      <w:bCs/>
                    </w:rPr>
                    <w:t>Tailoring</w:t>
                  </w:r>
                  <w:r w:rsidR="004A6CB4">
                    <w:rPr>
                      <w:bCs/>
                    </w:rPr>
                    <w:t xml:space="preserve"> </w:t>
                  </w:r>
                  <w:r w:rsidR="004A6CB4" w:rsidRPr="008F3B42">
                    <w:rPr>
                      <w:bCs/>
                    </w:rPr>
                    <w:t>Measurements</w:t>
                  </w:r>
                </w:p>
                <w:p w14:paraId="48E73865" w14:textId="77777777" w:rsidR="00AC3CF3" w:rsidRPr="008F3B42" w:rsidRDefault="00AC3CF3" w:rsidP="008F3B42">
                  <w:pPr>
                    <w:numPr>
                      <w:ilvl w:val="0"/>
                      <w:numId w:val="20"/>
                    </w:numPr>
                    <w:shd w:val="clear" w:color="auto" w:fill="00E668"/>
                    <w:ind w:right="288"/>
                    <w:rPr>
                      <w:bCs/>
                    </w:rPr>
                  </w:pPr>
                  <w:r w:rsidRPr="008F3B42">
                    <w:rPr>
                      <w:bCs/>
                    </w:rPr>
                    <w:t>Establishing a Tailoring “Project”</w:t>
                  </w:r>
                </w:p>
                <w:p w14:paraId="696B6773" w14:textId="77777777" w:rsidR="00BE6550" w:rsidRPr="008F3B42" w:rsidRDefault="00BE6550" w:rsidP="00BE6550">
                  <w:pPr>
                    <w:shd w:val="clear" w:color="auto" w:fill="00E668"/>
                    <w:ind w:left="72" w:right="288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586C8662" w14:textId="77777777" w:rsidR="008F3B42" w:rsidRPr="004A6CB4" w:rsidRDefault="008F3B42" w:rsidP="004A6CB4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 w:rsidRPr="00BD73E7">
                    <w:rPr>
                      <w:b/>
                      <w:sz w:val="20"/>
                      <w:u w:val="single"/>
                    </w:rPr>
                    <w:t xml:space="preserve">Material </w:t>
                  </w:r>
                  <w:r w:rsidR="004A6CB4">
                    <w:rPr>
                      <w:b/>
                      <w:sz w:val="20"/>
                      <w:u w:val="single"/>
                    </w:rPr>
                    <w:t>Provided</w:t>
                  </w:r>
                  <w:r w:rsidRPr="008F3B42">
                    <w:t xml:space="preserve"> </w:t>
                  </w:r>
                </w:p>
                <w:p w14:paraId="566C551C" w14:textId="77777777" w:rsidR="008F3B42" w:rsidRPr="008F3B42" w:rsidRDefault="004A6CB4" w:rsidP="008F3B4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Presentation and</w:t>
                  </w:r>
                  <w:r w:rsidR="008F3B42" w:rsidRPr="008F3B42">
                    <w:rPr>
                      <w:iCs/>
                    </w:rPr>
                    <w:t xml:space="preserve"> exercise materials</w:t>
                  </w:r>
                </w:p>
                <w:p w14:paraId="150A0883" w14:textId="77777777" w:rsidR="008F3B42" w:rsidRPr="008F3B42" w:rsidRDefault="008F3B42" w:rsidP="008F3B4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Bookman Old Style" w:hAnsi="Bookman Old Style"/>
                      <w:iCs/>
                    </w:rPr>
                  </w:pPr>
                  <w:r w:rsidRPr="008F3B42">
                    <w:rPr>
                      <w:iCs/>
                    </w:rPr>
                    <w:t xml:space="preserve">Reference </w:t>
                  </w:r>
                  <w:r w:rsidR="004A6CB4">
                    <w:rPr>
                      <w:iCs/>
                    </w:rPr>
                    <w:t xml:space="preserve">and sample </w:t>
                  </w:r>
                  <w:r w:rsidRPr="008F3B42">
                    <w:rPr>
                      <w:iCs/>
                    </w:rPr>
                    <w:t>materials</w:t>
                  </w:r>
                </w:p>
                <w:p w14:paraId="3CF54E4D" w14:textId="77777777" w:rsidR="008F3B42" w:rsidRPr="008F3B42" w:rsidRDefault="008F3B42" w:rsidP="00BE6550">
                  <w:pPr>
                    <w:shd w:val="clear" w:color="auto" w:fill="00E668"/>
                    <w:ind w:left="72" w:right="288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29C9A91B" w14:textId="77777777" w:rsidR="002400B0" w:rsidRPr="008F3B42" w:rsidRDefault="004F13A6" w:rsidP="008F3B42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 w:rsidRPr="008F3B42">
                    <w:rPr>
                      <w:b/>
                      <w:sz w:val="20"/>
                      <w:u w:val="single"/>
                    </w:rPr>
                    <w:t>Co</w:t>
                  </w:r>
                  <w:r w:rsidR="002400B0" w:rsidRPr="008F3B42">
                    <w:rPr>
                      <w:b/>
                      <w:sz w:val="20"/>
                      <w:u w:val="single"/>
                    </w:rPr>
                    <w:t xml:space="preserve">urse Duration </w:t>
                  </w:r>
                </w:p>
                <w:p w14:paraId="38692F13" w14:textId="77777777" w:rsidR="002400B0" w:rsidRPr="004A6CB4" w:rsidRDefault="00721FA1" w:rsidP="004A6CB4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2</w:t>
                  </w:r>
                  <w:r w:rsidR="002400B0" w:rsidRPr="008F3B42">
                    <w:rPr>
                      <w:iCs/>
                    </w:rPr>
                    <w:t xml:space="preserve"> days</w:t>
                  </w:r>
                  <w:r w:rsidR="004A6CB4">
                    <w:rPr>
                      <w:iCs/>
                    </w:rPr>
                    <w:t xml:space="preserve">. </w:t>
                  </w:r>
                  <w:r w:rsidR="004A6CB4" w:rsidRPr="008F3B42">
                    <w:rPr>
                      <w:iCs/>
                    </w:rPr>
                    <w:t>Course duration is tailorable</w:t>
                  </w:r>
                  <w:r w:rsidR="00301F21">
                    <w:rPr>
                      <w:iCs/>
                    </w:rPr>
                    <w:t>.</w:t>
                  </w:r>
                </w:p>
                <w:p w14:paraId="363FC392" w14:textId="77777777" w:rsidR="002400B0" w:rsidRPr="008F3B42" w:rsidRDefault="004F13A6" w:rsidP="008F3B4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8F3B42">
                    <w:rPr>
                      <w:iCs/>
                    </w:rPr>
                    <w:t xml:space="preserve">This class is </w:t>
                  </w:r>
                  <w:r w:rsidR="004A6CB4">
                    <w:rPr>
                      <w:iCs/>
                    </w:rPr>
                    <w:t xml:space="preserve">typically delivered in </w:t>
                  </w:r>
                  <w:r w:rsidR="00721FA1">
                    <w:rPr>
                      <w:iCs/>
                    </w:rPr>
                    <w:t xml:space="preserve">virtual or </w:t>
                  </w:r>
                  <w:r w:rsidR="002400B0" w:rsidRPr="008F3B42">
                    <w:rPr>
                      <w:iCs/>
                    </w:rPr>
                    <w:t>client site forums</w:t>
                  </w:r>
                </w:p>
                <w:p w14:paraId="473E7F72" w14:textId="77777777" w:rsidR="004A6CB4" w:rsidRDefault="004A6CB4" w:rsidP="008F3B42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</w:p>
                <w:p w14:paraId="43AC1639" w14:textId="77777777" w:rsidR="00062852" w:rsidRPr="008F3B42" w:rsidRDefault="00062852" w:rsidP="008F3B42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 w:rsidRPr="008F3B42">
                    <w:rPr>
                      <w:b/>
                      <w:sz w:val="20"/>
                      <w:u w:val="single"/>
                    </w:rPr>
                    <w:t xml:space="preserve">Course Work </w:t>
                  </w:r>
                </w:p>
                <w:p w14:paraId="3BDD726E" w14:textId="77777777" w:rsidR="00D943B6" w:rsidRPr="008F3B42" w:rsidRDefault="00FC7ED7" w:rsidP="008F3B42">
                  <w:pPr>
                    <w:shd w:val="clear" w:color="auto" w:fill="00E668"/>
                    <w:spacing w:before="100" w:beforeAutospacing="1" w:after="100" w:afterAutospacing="1"/>
                    <w:ind w:right="288"/>
                  </w:pPr>
                  <w:r w:rsidRPr="008F3B42">
                    <w:t>H</w:t>
                  </w:r>
                  <w:r w:rsidR="00301F21">
                    <w:t xml:space="preserve">omework may be </w:t>
                  </w:r>
                  <w:r w:rsidR="00062852" w:rsidRPr="008F3B42">
                    <w:t>required for th</w:t>
                  </w:r>
                  <w:r w:rsidR="00AC3CF3" w:rsidRPr="008F3B42">
                    <w:t>e first two days of the</w:t>
                  </w:r>
                  <w:r w:rsidR="004A6CB4">
                    <w:t xml:space="preserve"> workshop</w:t>
                  </w:r>
                  <w:r w:rsidR="00AC3CF3" w:rsidRPr="008F3B42">
                    <w:t>.</w:t>
                  </w:r>
                  <w:r w:rsidR="00301F21">
                    <w:t xml:space="preserve"> Preparation activities include ensuring organizational processes are available.</w:t>
                  </w:r>
                </w:p>
              </w:txbxContent>
            </v:textbox>
            <w10:wrap type="square"/>
          </v:shape>
        </w:pict>
      </w:r>
      <w:r>
        <w:rPr>
          <w:b/>
          <w:noProof/>
        </w:rPr>
        <w:pict w14:anchorId="3684FA7E">
          <v:shape id="_x0000_s2062" type="#_x0000_t202" style="position:absolute;margin-left:5.85pt;margin-top:352.15pt;width:495pt;height:28.4pt;z-index:251657216" stroked="f">
            <v:textbox style="mso-next-textbox:#_x0000_s2062">
              <w:txbxContent>
                <w:p w14:paraId="5D2BF99D" w14:textId="77777777" w:rsidR="00CB69AD" w:rsidRPr="00F54B3B" w:rsidRDefault="00CB69AD" w:rsidP="00CB69AD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F54B3B">
                    <w:rPr>
                      <w:rFonts w:ascii="Bookman Old Style" w:hAnsi="Bookman Old Style"/>
                      <w:sz w:val="16"/>
                      <w:szCs w:val="16"/>
                      <w:vertAlign w:val="superscript"/>
                    </w:rPr>
                    <w:t xml:space="preserve">® </w:t>
                  </w:r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CMMI, Capability Maturity Model, CMM, and Carnegie Mellon are registered in the U.S. Patent &amp; Trademark Office by </w:t>
                  </w:r>
                  <w:smartTag w:uri="urn:schemas-microsoft-com:office:smarttags" w:element="place">
                    <w:smartTag w:uri="urn:schemas-microsoft-com:office:smarttags" w:element="PlaceName">
                      <w:r w:rsidRPr="00F54B3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Carnegie</w:t>
                      </w:r>
                    </w:smartTag>
                    <w:r w:rsidRPr="00F54B3B">
                      <w:rPr>
                        <w:rFonts w:ascii="Bookman Old Style" w:hAnsi="Bookman Old Style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laceName">
                      <w:r w:rsidRPr="00F54B3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Mellon</w:t>
                      </w:r>
                    </w:smartTag>
                    <w:r w:rsidRPr="00F54B3B">
                      <w:rPr>
                        <w:rFonts w:ascii="Bookman Old Style" w:hAnsi="Bookman Old Style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laceType">
                      <w:r w:rsidRPr="00F54B3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University</w:t>
                      </w:r>
                    </w:smartTag>
                  </w:smartTag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>.</w:t>
                  </w:r>
                  <w:r w:rsidR="00615A86"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</w:t>
                  </w:r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</w:t>
                  </w:r>
                </w:p>
                <w:p w14:paraId="7B13F351" w14:textId="77777777" w:rsidR="00CB69AD" w:rsidRDefault="00CB69AD">
                  <w:pPr>
                    <w:rPr>
                      <w:rFonts w:ascii="Bookman Old Style" w:hAnsi="Bookman Old Style"/>
                      <w:sz w:val="14"/>
                    </w:rPr>
                  </w:pPr>
                </w:p>
              </w:txbxContent>
            </v:textbox>
          </v:shape>
        </w:pict>
      </w:r>
    </w:p>
    <w:sectPr w:rsidR="00763A54" w:rsidRPr="00BD73E7" w:rsidSect="00752A23">
      <w:headerReference w:type="default" r:id="rId10"/>
      <w:footerReference w:type="default" r:id="rId11"/>
      <w:pgSz w:w="12240" w:h="15840"/>
      <w:pgMar w:top="1710" w:right="630" w:bottom="1296" w:left="864" w:header="54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D863" w14:textId="77777777" w:rsidR="002936AF" w:rsidRDefault="002936AF">
      <w:r>
        <w:separator/>
      </w:r>
    </w:p>
  </w:endnote>
  <w:endnote w:type="continuationSeparator" w:id="0">
    <w:p w14:paraId="60CA6DAB" w14:textId="77777777" w:rsidR="002936AF" w:rsidRDefault="0029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5BA1" w14:textId="07DB0252" w:rsidR="00C712D8" w:rsidRPr="00F54B3B" w:rsidRDefault="00B6342B" w:rsidP="00062852">
    <w:pPr>
      <w:pStyle w:val="Footer"/>
      <w:tabs>
        <w:tab w:val="clear" w:pos="8640"/>
        <w:tab w:val="right" w:pos="10170"/>
      </w:tabs>
      <w:rPr>
        <w:sz w:val="16"/>
        <w:szCs w:val="16"/>
      </w:rPr>
    </w:pPr>
    <w:r>
      <w:rPr>
        <w:sz w:val="16"/>
        <w:szCs w:val="16"/>
      </w:rPr>
      <w:t>© 2010</w:t>
    </w:r>
    <w:r w:rsidR="00620AF1">
      <w:rPr>
        <w:sz w:val="16"/>
        <w:szCs w:val="16"/>
      </w:rPr>
      <w:t>-2025</w:t>
    </w:r>
    <w:r w:rsidR="00062852" w:rsidRPr="00F54B3B">
      <w:rPr>
        <w:sz w:val="16"/>
        <w:szCs w:val="16"/>
      </w:rPr>
      <w:t xml:space="preserve"> Integr</w:t>
    </w:r>
    <w:r>
      <w:rPr>
        <w:sz w:val="16"/>
        <w:szCs w:val="16"/>
      </w:rPr>
      <w:t xml:space="preserve">ated System Diagnostics, </w:t>
    </w:r>
    <w:r w:rsidR="00270194">
      <w:rPr>
        <w:sz w:val="16"/>
        <w:szCs w:val="16"/>
      </w:rPr>
      <w:t>LLC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4522BC">
      <w:rPr>
        <w:sz w:val="16"/>
        <w:szCs w:val="16"/>
      </w:rPr>
      <w:t>250527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EEFE" w14:textId="77777777" w:rsidR="002936AF" w:rsidRDefault="002936AF">
      <w:r>
        <w:separator/>
      </w:r>
    </w:p>
  </w:footnote>
  <w:footnote w:type="continuationSeparator" w:id="0">
    <w:p w14:paraId="2F2E3BED" w14:textId="77777777" w:rsidR="002936AF" w:rsidRDefault="0029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7851" w14:textId="77777777" w:rsidR="00B229AB" w:rsidRPr="00BD38FD" w:rsidRDefault="00BD38FD" w:rsidP="00BD38FD">
    <w:pPr>
      <w:pStyle w:val="Header"/>
      <w:tabs>
        <w:tab w:val="clear" w:pos="8640"/>
        <w:tab w:val="right" w:pos="10080"/>
      </w:tabs>
      <w:rPr>
        <w:rFonts w:ascii="Arial" w:hAnsi="Arial" w:cs="Arial"/>
        <w:sz w:val="16"/>
        <w:szCs w:val="16"/>
      </w:rPr>
    </w:pPr>
    <w:r>
      <w:rPr>
        <w:sz w:val="22"/>
      </w:rPr>
      <w:tab/>
    </w:r>
    <w:r>
      <w:rPr>
        <w:sz w:val="22"/>
      </w:rPr>
      <w:tab/>
    </w:r>
    <w:r w:rsidR="00E26083">
      <w:rPr>
        <w:rFonts w:ascii="Arial" w:hAnsi="Arial" w:cs="Arial"/>
        <w:sz w:val="16"/>
        <w:szCs w:val="16"/>
      </w:rPr>
      <w:t>Course Number – WKS10</w:t>
    </w:r>
    <w:r w:rsidR="00B229AB" w:rsidRPr="00BD38FD">
      <w:rPr>
        <w:rFonts w:ascii="Arial" w:hAnsi="Arial" w:cs="Arial"/>
        <w:sz w:val="16"/>
        <w:szCs w:val="16"/>
      </w:rPr>
      <w:t xml:space="preserve">                                                                   </w:t>
    </w:r>
  </w:p>
  <w:p w14:paraId="3751B45C" w14:textId="77777777" w:rsidR="00763A54" w:rsidRPr="00B229AB" w:rsidRDefault="006372C7" w:rsidP="00F73C10">
    <w:pPr>
      <w:pStyle w:val="Header"/>
      <w:tabs>
        <w:tab w:val="clear" w:pos="4320"/>
        <w:tab w:val="clear" w:pos="8640"/>
        <w:tab w:val="right" w:pos="10170"/>
      </w:tabs>
    </w:pPr>
    <w:r>
      <w:pict w14:anchorId="20C41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1.6pt;height:35.4pt">
          <v:imagedata r:id="rId1" o:title="fulllogo"/>
        </v:shape>
      </w:pict>
    </w:r>
    <w:r w:rsidR="004D1480">
      <w:tab/>
    </w:r>
    <w:r w:rsidR="00F73C1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306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12C75"/>
    <w:multiLevelType w:val="hybridMultilevel"/>
    <w:tmpl w:val="84AC5C0E"/>
    <w:lvl w:ilvl="0" w:tplc="E224099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02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4418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9F76BD"/>
    <w:multiLevelType w:val="hybridMultilevel"/>
    <w:tmpl w:val="6046ED0C"/>
    <w:lvl w:ilvl="0" w:tplc="038EBA2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05F5"/>
    <w:multiLevelType w:val="singleLevel"/>
    <w:tmpl w:val="7DEAFC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815DF5"/>
    <w:multiLevelType w:val="hybridMultilevel"/>
    <w:tmpl w:val="5DF4B0C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831FB"/>
    <w:multiLevelType w:val="singleLevel"/>
    <w:tmpl w:val="6E32DE04"/>
    <w:lvl w:ilvl="0">
      <w:start w:val="1"/>
      <w:numFmt w:val="bullet"/>
      <w:lvlText w:val="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8" w15:restartNumberingAfterBreak="0">
    <w:nsid w:val="2DEE3FF3"/>
    <w:multiLevelType w:val="hybridMultilevel"/>
    <w:tmpl w:val="38489C4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E1E82"/>
    <w:multiLevelType w:val="hybridMultilevel"/>
    <w:tmpl w:val="3D7E5C12"/>
    <w:lvl w:ilvl="0" w:tplc="D20A6F7E">
      <w:start w:val="1"/>
      <w:numFmt w:val="bullet"/>
      <w:lvlText w:val=""/>
      <w:lvlJc w:val="left"/>
      <w:pPr>
        <w:tabs>
          <w:tab w:val="num" w:pos="-300"/>
        </w:tabs>
        <w:ind w:left="-3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F1AE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7067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C86183"/>
    <w:multiLevelType w:val="hybridMultilevel"/>
    <w:tmpl w:val="6CFC92A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11A3E"/>
    <w:multiLevelType w:val="hybridMultilevel"/>
    <w:tmpl w:val="D9122946"/>
    <w:lvl w:ilvl="0" w:tplc="9FC61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432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8523AF"/>
    <w:multiLevelType w:val="hybridMultilevel"/>
    <w:tmpl w:val="37E47970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611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77AC7"/>
    <w:multiLevelType w:val="hybridMultilevel"/>
    <w:tmpl w:val="F9109D54"/>
    <w:lvl w:ilvl="0" w:tplc="0416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5D740C9"/>
    <w:multiLevelType w:val="hybridMultilevel"/>
    <w:tmpl w:val="23B689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C2FE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2A60AB8"/>
    <w:multiLevelType w:val="hybridMultilevel"/>
    <w:tmpl w:val="B6F0C3D4"/>
    <w:lvl w:ilvl="0" w:tplc="0DBC4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5C2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20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C44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064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6D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EA7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765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8B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29964">
    <w:abstractNumId w:val="14"/>
  </w:num>
  <w:num w:numId="2" w16cid:durableId="972443817">
    <w:abstractNumId w:val="0"/>
  </w:num>
  <w:num w:numId="3" w16cid:durableId="499539933">
    <w:abstractNumId w:val="5"/>
  </w:num>
  <w:num w:numId="4" w16cid:durableId="1682009271">
    <w:abstractNumId w:val="2"/>
  </w:num>
  <w:num w:numId="5" w16cid:durableId="1879463495">
    <w:abstractNumId w:val="7"/>
  </w:num>
  <w:num w:numId="6" w16cid:durableId="580912431">
    <w:abstractNumId w:val="3"/>
  </w:num>
  <w:num w:numId="7" w16cid:durableId="41566862">
    <w:abstractNumId w:val="11"/>
  </w:num>
  <w:num w:numId="8" w16cid:durableId="338234666">
    <w:abstractNumId w:val="10"/>
  </w:num>
  <w:num w:numId="9" w16cid:durableId="1162695906">
    <w:abstractNumId w:val="4"/>
  </w:num>
  <w:num w:numId="10" w16cid:durableId="640186141">
    <w:abstractNumId w:val="18"/>
  </w:num>
  <w:num w:numId="11" w16cid:durableId="1918131964">
    <w:abstractNumId w:val="8"/>
  </w:num>
  <w:num w:numId="12" w16cid:durableId="555821991">
    <w:abstractNumId w:val="1"/>
  </w:num>
  <w:num w:numId="13" w16cid:durableId="1362976323">
    <w:abstractNumId w:val="15"/>
  </w:num>
  <w:num w:numId="14" w16cid:durableId="1829053852">
    <w:abstractNumId w:val="6"/>
  </w:num>
  <w:num w:numId="15" w16cid:durableId="179319474">
    <w:abstractNumId w:val="17"/>
  </w:num>
  <w:num w:numId="16" w16cid:durableId="98919065">
    <w:abstractNumId w:val="13"/>
  </w:num>
  <w:num w:numId="17" w16cid:durableId="1347056003">
    <w:abstractNumId w:val="19"/>
  </w:num>
  <w:num w:numId="18" w16cid:durableId="7840746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83396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5405524">
    <w:abstractNumId w:val="16"/>
  </w:num>
  <w:num w:numId="21" w16cid:durableId="2137873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6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B80"/>
    <w:rsid w:val="0000799A"/>
    <w:rsid w:val="00062852"/>
    <w:rsid w:val="00083C33"/>
    <w:rsid w:val="00083C85"/>
    <w:rsid w:val="000A56BD"/>
    <w:rsid w:val="00136D16"/>
    <w:rsid w:val="001A1E1D"/>
    <w:rsid w:val="001B4485"/>
    <w:rsid w:val="00230E48"/>
    <w:rsid w:val="002400B0"/>
    <w:rsid w:val="00266F0D"/>
    <w:rsid w:val="00270194"/>
    <w:rsid w:val="0028598D"/>
    <w:rsid w:val="002936AF"/>
    <w:rsid w:val="002B43C3"/>
    <w:rsid w:val="002D23BE"/>
    <w:rsid w:val="002F0FA7"/>
    <w:rsid w:val="00301F21"/>
    <w:rsid w:val="0031452D"/>
    <w:rsid w:val="00380822"/>
    <w:rsid w:val="003B2F44"/>
    <w:rsid w:val="003E3C59"/>
    <w:rsid w:val="004522BC"/>
    <w:rsid w:val="004A6CB4"/>
    <w:rsid w:val="004D1480"/>
    <w:rsid w:val="004F13A6"/>
    <w:rsid w:val="004F3604"/>
    <w:rsid w:val="00511285"/>
    <w:rsid w:val="00512043"/>
    <w:rsid w:val="00524FB6"/>
    <w:rsid w:val="005C2355"/>
    <w:rsid w:val="005E043A"/>
    <w:rsid w:val="005F2B7B"/>
    <w:rsid w:val="00615A86"/>
    <w:rsid w:val="00620AF1"/>
    <w:rsid w:val="006372C7"/>
    <w:rsid w:val="00656A77"/>
    <w:rsid w:val="0066582D"/>
    <w:rsid w:val="006C2A8C"/>
    <w:rsid w:val="006D7E93"/>
    <w:rsid w:val="007132D9"/>
    <w:rsid w:val="00721FA1"/>
    <w:rsid w:val="007435E4"/>
    <w:rsid w:val="00752A23"/>
    <w:rsid w:val="00763A54"/>
    <w:rsid w:val="007E4DDB"/>
    <w:rsid w:val="00807C63"/>
    <w:rsid w:val="00823E57"/>
    <w:rsid w:val="00860666"/>
    <w:rsid w:val="008614EA"/>
    <w:rsid w:val="00866AEA"/>
    <w:rsid w:val="008A5CB2"/>
    <w:rsid w:val="008B0D19"/>
    <w:rsid w:val="008F3B42"/>
    <w:rsid w:val="009D2A59"/>
    <w:rsid w:val="009D726C"/>
    <w:rsid w:val="009E0BEF"/>
    <w:rsid w:val="009E256C"/>
    <w:rsid w:val="009E7A52"/>
    <w:rsid w:val="00A5612B"/>
    <w:rsid w:val="00A623BA"/>
    <w:rsid w:val="00AA2A76"/>
    <w:rsid w:val="00AC2332"/>
    <w:rsid w:val="00AC3CF3"/>
    <w:rsid w:val="00B17EA6"/>
    <w:rsid w:val="00B229AB"/>
    <w:rsid w:val="00B6342B"/>
    <w:rsid w:val="00BD38FD"/>
    <w:rsid w:val="00BD66A9"/>
    <w:rsid w:val="00BD73E7"/>
    <w:rsid w:val="00BE6550"/>
    <w:rsid w:val="00C06D15"/>
    <w:rsid w:val="00C222B3"/>
    <w:rsid w:val="00C456A4"/>
    <w:rsid w:val="00C67B40"/>
    <w:rsid w:val="00C712D8"/>
    <w:rsid w:val="00CB489A"/>
    <w:rsid w:val="00CB69AD"/>
    <w:rsid w:val="00CE1469"/>
    <w:rsid w:val="00CF740D"/>
    <w:rsid w:val="00D03460"/>
    <w:rsid w:val="00D135A6"/>
    <w:rsid w:val="00D359C5"/>
    <w:rsid w:val="00D81B72"/>
    <w:rsid w:val="00D943B6"/>
    <w:rsid w:val="00DF30B4"/>
    <w:rsid w:val="00E26083"/>
    <w:rsid w:val="00E52FA5"/>
    <w:rsid w:val="00E75D1F"/>
    <w:rsid w:val="00E93A51"/>
    <w:rsid w:val="00EC3B80"/>
    <w:rsid w:val="00EE773B"/>
    <w:rsid w:val="00F27D6F"/>
    <w:rsid w:val="00F54B3B"/>
    <w:rsid w:val="00F73C10"/>
    <w:rsid w:val="00FA4BCE"/>
    <w:rsid w:val="00FB20A3"/>
    <w:rsid w:val="00FC1894"/>
    <w:rsid w:val="00FC7ED7"/>
    <w:rsid w:val="00F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86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DC4147A"/>
  <w15:chartTrackingRefBased/>
  <w15:docId w15:val="{676CC5EC-B192-4490-9860-B9AA5C9C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ind w:firstLine="360"/>
      <w:jc w:val="both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both"/>
    </w:pPr>
    <w:rPr>
      <w:rFonts w:ascii="Bookman Old Style" w:hAnsi="Bookman Old Style"/>
      <w:sz w:val="24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  <w:tab w:val="num" w:pos="1080"/>
      </w:tabs>
      <w:ind w:left="1080"/>
    </w:pPr>
  </w:style>
  <w:style w:type="paragraph" w:styleId="BodyTextIndent">
    <w:name w:val="Body Text Indent"/>
    <w:basedOn w:val="Normal"/>
    <w:pPr>
      <w:ind w:left="360"/>
    </w:pPr>
    <w:rPr>
      <w:rFonts w:ascii="Bookman Old Style" w:hAnsi="Bookman Old Style"/>
      <w:sz w:val="16"/>
    </w:r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360"/>
      <w:jc w:val="both"/>
    </w:pPr>
    <w:rPr>
      <w:i/>
      <w:iCs/>
      <w:sz w:val="18"/>
    </w:rPr>
  </w:style>
  <w:style w:type="paragraph" w:styleId="BodyText">
    <w:name w:val="Body Text"/>
    <w:basedOn w:val="Normal"/>
    <w:rPr>
      <w:rFonts w:ascii="Bookman Old Style" w:hAnsi="Bookman Old Style"/>
      <w:b/>
      <w:bCs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MtextCharChar">
    <w:name w:val="PMtext Char Char"/>
    <w:link w:val="PMtextChar"/>
    <w:locked/>
    <w:rsid w:val="000A56BD"/>
    <w:rPr>
      <w:sz w:val="22"/>
    </w:rPr>
  </w:style>
  <w:style w:type="paragraph" w:customStyle="1" w:styleId="PMtextChar">
    <w:name w:val="PMtext Char"/>
    <w:basedOn w:val="Normal"/>
    <w:link w:val="PMtextCharChar"/>
    <w:rsid w:val="000A56BD"/>
    <w:pPr>
      <w:spacing w:after="160"/>
      <w:ind w:left="360"/>
      <w:jc w:val="both"/>
    </w:pPr>
    <w:rPr>
      <w:sz w:val="22"/>
    </w:rPr>
  </w:style>
  <w:style w:type="paragraph" w:customStyle="1" w:styleId="PMTextBulletNew">
    <w:name w:val="PMTextBulletNew"/>
    <w:basedOn w:val="Normal"/>
    <w:autoRedefine/>
    <w:rsid w:val="00BE6550"/>
    <w:pPr>
      <w:tabs>
        <w:tab w:val="num" w:pos="220"/>
        <w:tab w:val="num" w:pos="360"/>
      </w:tabs>
      <w:spacing w:after="120"/>
      <w:ind w:left="220" w:hanging="2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54AE58701554ABA19250022AB1D26" ma:contentTypeVersion="0" ma:contentTypeDescription="Create a new document." ma:contentTypeScope="" ma:versionID="2b19826ea6441e8e183ad2a85655fdd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8520B-0D32-4B42-B413-87B44F42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70034BE-C5AA-421A-8CEA-5466FF0E0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E7081F-44C5-41EE-BE9D-729CD03D7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Model Tailoring Workshop</vt:lpstr>
    </vt:vector>
  </TitlesOfParts>
  <Company>ISD, Inc.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Model Tailoring Workshop</dc:title>
  <dc:subject>Training Description Template</dc:subject>
  <dc:creator>Jack Lawrence</dc:creator>
  <cp:keywords/>
  <cp:lastModifiedBy>Paul Byrnes</cp:lastModifiedBy>
  <cp:revision>7</cp:revision>
  <cp:lastPrinted>2008-01-03T14:20:00Z</cp:lastPrinted>
  <dcterms:created xsi:type="dcterms:W3CDTF">2025-05-28T16:23:00Z</dcterms:created>
  <dcterms:modified xsi:type="dcterms:W3CDTF">2025-05-28T16:32:00Z</dcterms:modified>
</cp:coreProperties>
</file>