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0DC9" w14:textId="77777777" w:rsidR="00752A23" w:rsidRDefault="00752A23" w:rsidP="00752A23">
      <w:pPr>
        <w:pStyle w:val="BodyText3"/>
        <w:spacing w:before="120"/>
        <w:ind w:right="756"/>
        <w:rPr>
          <w:rFonts w:ascii="Times New Roman" w:hAnsi="Times New Roman"/>
          <w:sz w:val="22"/>
        </w:rPr>
      </w:pPr>
      <w:r>
        <w:rPr>
          <w:rFonts w:ascii="Franklin Gothic Book" w:hAnsi="Franklin Gothic Book"/>
          <w:b/>
          <w:noProof/>
          <w:sz w:val="46"/>
          <w:szCs w:val="46"/>
        </w:rPr>
        <w:pict w14:anchorId="5A70A0BF">
          <v:rect id="_x0000_s1060" style="position:absolute;left:0;text-align:left;margin-left:2.25pt;margin-top:-87pt;width:56.25pt;height:798pt;z-index:251660288" fillcolor="#ff9" strokecolor="#f2f2f2" strokeweight="3pt">
            <v:shadow on="t" type="perspective" color="#243f60" opacity=".5" offset="1pt" offset2="-1pt"/>
          </v:rect>
        </w:pict>
      </w:r>
      <w:r w:rsidR="00136D16">
        <w:rPr>
          <w:rFonts w:ascii="Franklin Gothic Book" w:hAnsi="Franklin Gothic Book"/>
          <w:b/>
          <w:noProof/>
          <w:sz w:val="46"/>
          <w:szCs w:val="46"/>
          <w:lang w:eastAsia="ko-KR"/>
        </w:rPr>
        <w:pict w14:anchorId="2DD3A358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-6.45pt;margin-top:5.55pt;width:510pt;height:54.45pt;z-index:251658240" filled="f" fillcolor="#8db3e2" stroked="f">
            <v:textbox style="mso-next-textbox:#_x0000_s1057">
              <w:txbxContent>
                <w:p w14:paraId="41DC1C42" w14:textId="77777777" w:rsidR="00266F0D" w:rsidRDefault="00B43CE2" w:rsidP="003E3C59">
                  <w:pPr>
                    <w:tabs>
                      <w:tab w:val="right" w:pos="9540"/>
                    </w:tabs>
                  </w:pPr>
                  <w:r>
                    <w:rPr>
                      <w:rFonts w:ascii="Franklin Gothic Heavy" w:hAnsi="Franklin Gothic Heavy"/>
                      <w:sz w:val="40"/>
                      <w:szCs w:val="40"/>
                    </w:rPr>
                    <w:t>Appraisal Preparation Seminar</w:t>
                  </w:r>
                </w:p>
              </w:txbxContent>
            </v:textbox>
            <w10:wrap type="square"/>
          </v:shape>
        </w:pict>
      </w:r>
      <w:r w:rsidR="003E3C59">
        <w:rPr>
          <w:rFonts w:ascii="Franklin Gothic Book" w:hAnsi="Franklin Gothic Book"/>
          <w:b/>
          <w:noProof/>
          <w:sz w:val="46"/>
          <w:szCs w:val="46"/>
        </w:rPr>
        <w:pict w14:anchorId="2B2E2649">
          <v:rect id="_x0000_s1059" style="position:absolute;left:0;text-align:left;margin-left:518.85pt;margin-top:-91.5pt;width:51.45pt;height:802.5pt;z-index:251659264" fillcolor="#365f91" strokecolor="#f2f2f2" strokeweight="3pt">
            <v:shadow on="t" type="perspective" color="#243f60" opacity=".5" offset="1pt" offset2="-1pt"/>
          </v:rect>
        </w:pict>
      </w:r>
      <w:r w:rsidR="00763A54">
        <w:rPr>
          <w:rFonts w:ascii="Times New Roman" w:hAnsi="Times New Roman"/>
          <w:sz w:val="22"/>
        </w:rPr>
        <w:t xml:space="preserve"> </w:t>
      </w:r>
    </w:p>
    <w:p w14:paraId="5E569ED3" w14:textId="77777777" w:rsidR="00752A23" w:rsidRDefault="00752A23" w:rsidP="00752A23">
      <w:pPr>
        <w:pStyle w:val="BodyText3"/>
        <w:spacing w:before="120"/>
        <w:ind w:right="756"/>
        <w:rPr>
          <w:rFonts w:ascii="Times New Roman" w:hAnsi="Times New Roman"/>
          <w:sz w:val="22"/>
        </w:rPr>
      </w:pPr>
    </w:p>
    <w:p w14:paraId="3C17F771" w14:textId="77777777" w:rsidR="00752A23" w:rsidRDefault="00752A23" w:rsidP="00752A23">
      <w:pPr>
        <w:pStyle w:val="BodyText3"/>
        <w:spacing w:before="120"/>
        <w:ind w:right="756"/>
        <w:rPr>
          <w:rFonts w:ascii="Times New Roman" w:hAnsi="Times New Roman"/>
          <w:sz w:val="22"/>
        </w:rPr>
      </w:pPr>
    </w:p>
    <w:p w14:paraId="7E7C8E60" w14:textId="77777777" w:rsidR="00752A23" w:rsidRDefault="00752A23" w:rsidP="00752A23">
      <w:pPr>
        <w:pStyle w:val="BodyText3"/>
        <w:spacing w:before="120"/>
        <w:ind w:right="576"/>
        <w:rPr>
          <w:rFonts w:ascii="Times New Roman" w:hAnsi="Times New Roman"/>
          <w:sz w:val="22"/>
        </w:rPr>
      </w:pPr>
    </w:p>
    <w:p w14:paraId="0B6F0166" w14:textId="77777777" w:rsidR="00B43CE2" w:rsidRDefault="00752A23" w:rsidP="00752A23">
      <w:pPr>
        <w:pStyle w:val="BodyText3"/>
        <w:spacing w:before="120"/>
        <w:ind w:right="75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The </w:t>
      </w:r>
      <w:r w:rsidR="00763A54">
        <w:rPr>
          <w:rFonts w:ascii="Times New Roman" w:hAnsi="Times New Roman"/>
          <w:sz w:val="22"/>
        </w:rPr>
        <w:t xml:space="preserve">purpose of </w:t>
      </w:r>
      <w:r w:rsidR="00BE0DA2">
        <w:rPr>
          <w:rFonts w:ascii="Times New Roman" w:hAnsi="Times New Roman"/>
          <w:sz w:val="22"/>
        </w:rPr>
        <w:t xml:space="preserve">the </w:t>
      </w:r>
      <w:r w:rsidR="00B43CE2">
        <w:rPr>
          <w:rFonts w:ascii="Times New Roman" w:hAnsi="Times New Roman"/>
          <w:sz w:val="22"/>
        </w:rPr>
        <w:t>Appraisal Preparation Seminar</w:t>
      </w:r>
      <w:r w:rsidR="00D03460">
        <w:rPr>
          <w:rFonts w:ascii="Times New Roman" w:hAnsi="Times New Roman"/>
          <w:sz w:val="22"/>
        </w:rPr>
        <w:t xml:space="preserve"> </w:t>
      </w:r>
      <w:r w:rsidR="00763A54">
        <w:rPr>
          <w:rFonts w:ascii="Times New Roman" w:hAnsi="Times New Roman"/>
          <w:sz w:val="22"/>
        </w:rPr>
        <w:t xml:space="preserve">is to </w:t>
      </w:r>
      <w:r w:rsidR="00763A54" w:rsidRPr="001F29B6">
        <w:rPr>
          <w:rFonts w:ascii="Times New Roman" w:hAnsi="Times New Roman"/>
          <w:b/>
          <w:color w:val="0070C0"/>
          <w:sz w:val="22"/>
        </w:rPr>
        <w:t xml:space="preserve">provide </w:t>
      </w:r>
      <w:r w:rsidR="00BE0DA2" w:rsidRPr="001F29B6">
        <w:rPr>
          <w:rFonts w:ascii="Times New Roman" w:hAnsi="Times New Roman"/>
          <w:b/>
          <w:color w:val="0070C0"/>
          <w:sz w:val="22"/>
        </w:rPr>
        <w:t xml:space="preserve">practical </w:t>
      </w:r>
      <w:r w:rsidR="00763A54" w:rsidRPr="001F29B6">
        <w:rPr>
          <w:rFonts w:ascii="Times New Roman" w:hAnsi="Times New Roman"/>
          <w:b/>
          <w:color w:val="0070C0"/>
          <w:sz w:val="22"/>
        </w:rPr>
        <w:t xml:space="preserve">guidance for improving </w:t>
      </w:r>
      <w:r w:rsidR="00BE0DA2" w:rsidRPr="001F29B6">
        <w:rPr>
          <w:rFonts w:ascii="Times New Roman" w:hAnsi="Times New Roman"/>
          <w:b/>
          <w:color w:val="0070C0"/>
          <w:sz w:val="22"/>
        </w:rPr>
        <w:t xml:space="preserve">the efficiency and effectiveness </w:t>
      </w:r>
      <w:r w:rsidR="00BE0DA2" w:rsidRPr="00574F65">
        <w:rPr>
          <w:rFonts w:ascii="Times New Roman" w:hAnsi="Times New Roman"/>
          <w:sz w:val="22"/>
        </w:rPr>
        <w:t>of your</w:t>
      </w:r>
      <w:r w:rsidR="00763A54" w:rsidRPr="00574F65">
        <w:rPr>
          <w:rFonts w:ascii="Times New Roman" w:hAnsi="Times New Roman"/>
          <w:sz w:val="22"/>
        </w:rPr>
        <w:t xml:space="preserve"> organization's </w:t>
      </w:r>
      <w:r w:rsidR="00B43CE2" w:rsidRPr="00574F65">
        <w:rPr>
          <w:rFonts w:ascii="Times New Roman" w:hAnsi="Times New Roman"/>
          <w:sz w:val="22"/>
        </w:rPr>
        <w:t xml:space="preserve">appraisal </w:t>
      </w:r>
      <w:r w:rsidR="00BE0DA2" w:rsidRPr="00574F65">
        <w:rPr>
          <w:rFonts w:ascii="Times New Roman" w:hAnsi="Times New Roman"/>
          <w:sz w:val="22"/>
        </w:rPr>
        <w:t>preparation activities</w:t>
      </w:r>
      <w:r w:rsidR="00062852">
        <w:rPr>
          <w:rFonts w:ascii="Times New Roman" w:hAnsi="Times New Roman"/>
          <w:sz w:val="22"/>
        </w:rPr>
        <w:t>.  This</w:t>
      </w:r>
      <w:r w:rsidR="00763A54">
        <w:rPr>
          <w:rFonts w:ascii="Times New Roman" w:hAnsi="Times New Roman"/>
          <w:sz w:val="22"/>
        </w:rPr>
        <w:t xml:space="preserve"> course </w:t>
      </w:r>
      <w:r w:rsidR="00763A54" w:rsidRPr="006262CC">
        <w:rPr>
          <w:rFonts w:ascii="Times New Roman" w:hAnsi="Times New Roman"/>
          <w:b/>
          <w:color w:val="0070C0"/>
          <w:sz w:val="22"/>
        </w:rPr>
        <w:t xml:space="preserve">explains </w:t>
      </w:r>
      <w:r w:rsidR="00B43CE2" w:rsidRPr="006262CC">
        <w:rPr>
          <w:rFonts w:ascii="Times New Roman" w:hAnsi="Times New Roman"/>
          <w:b/>
          <w:color w:val="0070C0"/>
          <w:sz w:val="22"/>
        </w:rPr>
        <w:t>evidence</w:t>
      </w:r>
      <w:r w:rsidR="001F29B6" w:rsidRPr="006262CC">
        <w:rPr>
          <w:rFonts w:ascii="Times New Roman" w:hAnsi="Times New Roman"/>
          <w:b/>
          <w:color w:val="0070C0"/>
          <w:sz w:val="22"/>
        </w:rPr>
        <w:t xml:space="preserve"> </w:t>
      </w:r>
      <w:r w:rsidR="006262CC" w:rsidRPr="006262CC">
        <w:rPr>
          <w:rFonts w:ascii="Times New Roman" w:hAnsi="Times New Roman"/>
          <w:b/>
          <w:color w:val="0070C0"/>
          <w:sz w:val="22"/>
        </w:rPr>
        <w:t xml:space="preserve">types and </w:t>
      </w:r>
      <w:r w:rsidR="001F29B6" w:rsidRPr="006262CC">
        <w:rPr>
          <w:rFonts w:ascii="Times New Roman" w:hAnsi="Times New Roman"/>
          <w:b/>
          <w:color w:val="0070C0"/>
          <w:sz w:val="22"/>
        </w:rPr>
        <w:t>requirements</w:t>
      </w:r>
      <w:r w:rsidR="006262CC">
        <w:rPr>
          <w:rFonts w:ascii="Times New Roman" w:hAnsi="Times New Roman"/>
          <w:sz w:val="22"/>
        </w:rPr>
        <w:t>, and h</w:t>
      </w:r>
      <w:r w:rsidR="00B43CE2">
        <w:rPr>
          <w:rFonts w:ascii="Times New Roman" w:hAnsi="Times New Roman"/>
          <w:sz w:val="22"/>
        </w:rPr>
        <w:t xml:space="preserve">ow to determine how much objective evidence is required to support a successful appraisal.  You will be given an opportunity to </w:t>
      </w:r>
      <w:r w:rsidR="00B43CE2" w:rsidRPr="006262CC">
        <w:rPr>
          <w:rFonts w:ascii="Times New Roman" w:hAnsi="Times New Roman"/>
          <w:b/>
          <w:color w:val="0070C0"/>
          <w:sz w:val="22"/>
        </w:rPr>
        <w:t>discuss typical model interpretation</w:t>
      </w:r>
      <w:r w:rsidR="00B43CE2">
        <w:rPr>
          <w:rFonts w:ascii="Times New Roman" w:hAnsi="Times New Roman"/>
          <w:sz w:val="22"/>
        </w:rPr>
        <w:t xml:space="preserve"> issues and institutionalization as it relates to your data collection and </w:t>
      </w:r>
      <w:r w:rsidR="00B84D2E">
        <w:rPr>
          <w:rFonts w:ascii="Times New Roman" w:hAnsi="Times New Roman"/>
          <w:sz w:val="22"/>
        </w:rPr>
        <w:t xml:space="preserve">appraisal </w:t>
      </w:r>
      <w:r w:rsidR="00B43CE2">
        <w:rPr>
          <w:rFonts w:ascii="Times New Roman" w:hAnsi="Times New Roman"/>
          <w:sz w:val="22"/>
        </w:rPr>
        <w:t>p</w:t>
      </w:r>
      <w:r w:rsidR="00B84D2E">
        <w:rPr>
          <w:rFonts w:ascii="Times New Roman" w:hAnsi="Times New Roman"/>
          <w:sz w:val="22"/>
        </w:rPr>
        <w:t>reparation</w:t>
      </w:r>
      <w:r w:rsidR="00CA6926">
        <w:rPr>
          <w:rFonts w:ascii="Times New Roman" w:hAnsi="Times New Roman"/>
          <w:sz w:val="22"/>
        </w:rPr>
        <w:t>.  We</w:t>
      </w:r>
      <w:r w:rsidR="00B43CE2">
        <w:rPr>
          <w:rFonts w:ascii="Times New Roman" w:hAnsi="Times New Roman"/>
          <w:sz w:val="22"/>
        </w:rPr>
        <w:t xml:space="preserve"> propose a </w:t>
      </w:r>
      <w:r w:rsidR="00B43CE2" w:rsidRPr="00574F65">
        <w:rPr>
          <w:rFonts w:ascii="Times New Roman" w:hAnsi="Times New Roman"/>
          <w:b/>
          <w:color w:val="0070C0"/>
          <w:sz w:val="22"/>
        </w:rPr>
        <w:t>technique for validating the data you collect</w:t>
      </w:r>
      <w:r w:rsidR="00B43CE2">
        <w:rPr>
          <w:rFonts w:ascii="Times New Roman" w:hAnsi="Times New Roman"/>
          <w:sz w:val="22"/>
        </w:rPr>
        <w:t xml:space="preserve"> </w:t>
      </w:r>
      <w:r w:rsidR="00BB767D">
        <w:rPr>
          <w:rFonts w:ascii="Times New Roman" w:hAnsi="Times New Roman"/>
          <w:sz w:val="22"/>
        </w:rPr>
        <w:t xml:space="preserve">to ensure it is </w:t>
      </w:r>
      <w:r w:rsidR="00B43CE2">
        <w:rPr>
          <w:rFonts w:ascii="Times New Roman" w:hAnsi="Times New Roman"/>
          <w:sz w:val="22"/>
        </w:rPr>
        <w:t>the data needed to demonstrate your</w:t>
      </w:r>
      <w:r w:rsidR="006262CC">
        <w:rPr>
          <w:rFonts w:ascii="Times New Roman" w:hAnsi="Times New Roman"/>
          <w:sz w:val="22"/>
        </w:rPr>
        <w:t xml:space="preserve"> true and</w:t>
      </w:r>
      <w:r w:rsidR="00B43CE2">
        <w:rPr>
          <w:rFonts w:ascii="Times New Roman" w:hAnsi="Times New Roman"/>
          <w:sz w:val="22"/>
        </w:rPr>
        <w:t xml:space="preserve"> </w:t>
      </w:r>
      <w:r w:rsidR="006262CC">
        <w:rPr>
          <w:rFonts w:ascii="Times New Roman" w:hAnsi="Times New Roman"/>
          <w:sz w:val="22"/>
        </w:rPr>
        <w:t>best capability</w:t>
      </w:r>
      <w:r w:rsidR="00B43CE2">
        <w:rPr>
          <w:rFonts w:ascii="Times New Roman" w:hAnsi="Times New Roman"/>
          <w:sz w:val="22"/>
        </w:rPr>
        <w:t xml:space="preserve">.  </w:t>
      </w:r>
    </w:p>
    <w:p w14:paraId="3C9557BC" w14:textId="77777777" w:rsidR="00763A54" w:rsidRDefault="00B43CE2" w:rsidP="00752A23">
      <w:pPr>
        <w:pStyle w:val="BodyText3"/>
        <w:spacing w:before="120"/>
        <w:ind w:right="75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We will explain </w:t>
      </w:r>
      <w:r w:rsidR="00FB5204">
        <w:rPr>
          <w:rFonts w:ascii="Times New Roman" w:hAnsi="Times New Roman"/>
          <w:sz w:val="22"/>
        </w:rPr>
        <w:t>our</w:t>
      </w:r>
      <w:r>
        <w:rPr>
          <w:rFonts w:ascii="Times New Roman" w:hAnsi="Times New Roman"/>
          <w:sz w:val="22"/>
        </w:rPr>
        <w:t xml:space="preserve"> </w:t>
      </w:r>
      <w:r w:rsidRPr="006262CC">
        <w:rPr>
          <w:rFonts w:ascii="Times New Roman" w:hAnsi="Times New Roman"/>
          <w:b/>
          <w:color w:val="0070C0"/>
          <w:sz w:val="22"/>
        </w:rPr>
        <w:t xml:space="preserve">appraisal life cycle </w:t>
      </w:r>
      <w:r w:rsidR="00FB5204" w:rsidRPr="006262CC">
        <w:rPr>
          <w:rFonts w:ascii="Times New Roman" w:hAnsi="Times New Roman"/>
          <w:b/>
          <w:color w:val="0070C0"/>
          <w:sz w:val="22"/>
        </w:rPr>
        <w:t>model</w:t>
      </w:r>
      <w:r w:rsidR="00FB5204">
        <w:rPr>
          <w:rFonts w:ascii="Times New Roman" w:hAnsi="Times New Roman"/>
          <w:sz w:val="22"/>
        </w:rPr>
        <w:t xml:space="preserve"> and how it </w:t>
      </w:r>
      <w:r>
        <w:rPr>
          <w:rFonts w:ascii="Times New Roman" w:hAnsi="Times New Roman"/>
          <w:sz w:val="22"/>
        </w:rPr>
        <w:t>relates to the data you collect</w:t>
      </w:r>
      <w:r w:rsidR="00FB5204">
        <w:rPr>
          <w:rFonts w:ascii="Times New Roman" w:hAnsi="Times New Roman"/>
          <w:sz w:val="22"/>
        </w:rPr>
        <w:t xml:space="preserve"> for a suite of appraisals</w:t>
      </w:r>
      <w:r>
        <w:rPr>
          <w:rFonts w:ascii="Times New Roman" w:hAnsi="Times New Roman"/>
          <w:sz w:val="22"/>
        </w:rPr>
        <w:t>.  We will provide techniques</w:t>
      </w:r>
      <w:r w:rsidR="00FB5204">
        <w:rPr>
          <w:rFonts w:ascii="Times New Roman" w:hAnsi="Times New Roman"/>
          <w:sz w:val="22"/>
        </w:rPr>
        <w:t>, guidelines,</w:t>
      </w:r>
      <w:r>
        <w:rPr>
          <w:rFonts w:ascii="Times New Roman" w:hAnsi="Times New Roman"/>
          <w:sz w:val="22"/>
        </w:rPr>
        <w:t xml:space="preserve"> </w:t>
      </w:r>
      <w:r w:rsidR="00FB5204">
        <w:rPr>
          <w:rFonts w:ascii="Times New Roman" w:hAnsi="Times New Roman"/>
          <w:sz w:val="22"/>
        </w:rPr>
        <w:t>work instructions, and</w:t>
      </w:r>
      <w:r>
        <w:rPr>
          <w:rFonts w:ascii="Times New Roman" w:hAnsi="Times New Roman"/>
          <w:sz w:val="22"/>
        </w:rPr>
        <w:t xml:space="preserve"> checklist</w:t>
      </w:r>
      <w:r w:rsidR="00FB5204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 xml:space="preserve"> for ensuring your data collection is </w:t>
      </w:r>
      <w:r w:rsidRPr="006262CC">
        <w:rPr>
          <w:rFonts w:ascii="Times New Roman" w:hAnsi="Times New Roman"/>
          <w:b/>
          <w:color w:val="0070C0"/>
          <w:sz w:val="22"/>
        </w:rPr>
        <w:t xml:space="preserve">successful the </w:t>
      </w:r>
      <w:r w:rsidRPr="006262CC">
        <w:rPr>
          <w:rFonts w:ascii="Times New Roman" w:hAnsi="Times New Roman"/>
          <w:b/>
          <w:i/>
          <w:iCs/>
          <w:color w:val="0070C0"/>
          <w:sz w:val="22"/>
        </w:rPr>
        <w:t>first</w:t>
      </w:r>
      <w:r w:rsidRPr="006262CC">
        <w:rPr>
          <w:rFonts w:ascii="Times New Roman" w:hAnsi="Times New Roman"/>
          <w:b/>
          <w:color w:val="0070C0"/>
          <w:sz w:val="22"/>
        </w:rPr>
        <w:t xml:space="preserve"> time</w:t>
      </w:r>
      <w:r>
        <w:rPr>
          <w:rFonts w:ascii="Times New Roman" w:hAnsi="Times New Roman"/>
          <w:sz w:val="22"/>
        </w:rPr>
        <w:t xml:space="preserve">.  </w:t>
      </w:r>
      <w:r w:rsidR="00FB5204">
        <w:rPr>
          <w:rFonts w:ascii="Times New Roman" w:hAnsi="Times New Roman"/>
          <w:sz w:val="22"/>
        </w:rPr>
        <w:t xml:space="preserve">These assets </w:t>
      </w:r>
      <w:r>
        <w:rPr>
          <w:rFonts w:ascii="Times New Roman" w:hAnsi="Times New Roman"/>
          <w:sz w:val="22"/>
        </w:rPr>
        <w:t xml:space="preserve">have been proven successful through use in multiple appraisals.  </w:t>
      </w:r>
      <w:r w:rsidR="00763A54">
        <w:rPr>
          <w:rFonts w:ascii="Times New Roman" w:hAnsi="Times New Roman"/>
          <w:sz w:val="22"/>
        </w:rPr>
        <w:t xml:space="preserve"> </w:t>
      </w:r>
    </w:p>
    <w:p w14:paraId="48538B2F" w14:textId="77777777" w:rsidR="00BC6C36" w:rsidRDefault="00F54B3B" w:rsidP="00752A23">
      <w:pPr>
        <w:pStyle w:val="BodyText3"/>
        <w:spacing w:before="120"/>
        <w:ind w:right="75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Our </w:t>
      </w:r>
      <w:r w:rsidR="00763A54">
        <w:rPr>
          <w:rFonts w:ascii="Times New Roman" w:hAnsi="Times New Roman"/>
          <w:sz w:val="22"/>
        </w:rPr>
        <w:t>instructors</w:t>
      </w:r>
      <w:r w:rsidR="00BC6C36">
        <w:rPr>
          <w:rFonts w:ascii="Times New Roman" w:hAnsi="Times New Roman"/>
          <w:sz w:val="22"/>
        </w:rPr>
        <w:t xml:space="preserve"> </w:t>
      </w:r>
      <w:r w:rsidR="006262CC">
        <w:rPr>
          <w:rFonts w:ascii="Times New Roman" w:hAnsi="Times New Roman"/>
          <w:sz w:val="22"/>
        </w:rPr>
        <w:t xml:space="preserve">are </w:t>
      </w:r>
      <w:r w:rsidR="006262CC" w:rsidRPr="006262CC">
        <w:rPr>
          <w:rFonts w:ascii="Times New Roman" w:hAnsi="Times New Roman"/>
          <w:b/>
          <w:color w:val="0070C0"/>
          <w:sz w:val="22"/>
        </w:rPr>
        <w:t>Certified Lead Appraisers</w:t>
      </w:r>
      <w:r w:rsidR="006262CC">
        <w:rPr>
          <w:rFonts w:ascii="Times New Roman" w:hAnsi="Times New Roman"/>
          <w:sz w:val="22"/>
        </w:rPr>
        <w:t xml:space="preserve"> who </w:t>
      </w:r>
      <w:r w:rsidR="00BC6C36">
        <w:rPr>
          <w:rFonts w:ascii="Times New Roman" w:hAnsi="Times New Roman"/>
          <w:sz w:val="22"/>
        </w:rPr>
        <w:t>have deep model and appraisal</w:t>
      </w:r>
      <w:r>
        <w:rPr>
          <w:rFonts w:ascii="Times New Roman" w:hAnsi="Times New Roman"/>
          <w:sz w:val="22"/>
        </w:rPr>
        <w:t xml:space="preserve"> knowledge and experience</w:t>
      </w:r>
      <w:r w:rsidR="00BC6C36">
        <w:rPr>
          <w:rFonts w:ascii="Times New Roman" w:hAnsi="Times New Roman"/>
          <w:sz w:val="22"/>
        </w:rPr>
        <w:t>; all are Lead Appraisers, usually in multiple methods, and against multiple reference models</w:t>
      </w:r>
      <w:r>
        <w:rPr>
          <w:rFonts w:ascii="Times New Roman" w:hAnsi="Times New Roman"/>
          <w:sz w:val="22"/>
        </w:rPr>
        <w:t xml:space="preserve">. </w:t>
      </w:r>
    </w:p>
    <w:p w14:paraId="480F5347" w14:textId="77777777" w:rsidR="00763A54" w:rsidRDefault="00F54B3B" w:rsidP="00752A23">
      <w:pPr>
        <w:pStyle w:val="BodyText3"/>
        <w:spacing w:before="120"/>
        <w:ind w:right="75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 a course participant you will</w:t>
      </w:r>
      <w:r w:rsidR="00763A5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receive the foundational knowledge to enable you to </w:t>
      </w:r>
    </w:p>
    <w:p w14:paraId="0EFAB665" w14:textId="266608C7" w:rsidR="00763A54" w:rsidRDefault="00763A54" w:rsidP="00752A23">
      <w:pPr>
        <w:pStyle w:val="BodyText3"/>
        <w:numPr>
          <w:ilvl w:val="0"/>
          <w:numId w:val="16"/>
        </w:numPr>
        <w:ind w:right="756"/>
        <w:rPr>
          <w:rFonts w:ascii="Times New Roman" w:hAnsi="Times New Roman"/>
          <w:sz w:val="22"/>
        </w:rPr>
      </w:pPr>
      <w:r w:rsidRPr="006262CC">
        <w:rPr>
          <w:rFonts w:ascii="Times New Roman" w:hAnsi="Times New Roman"/>
          <w:b/>
          <w:color w:val="0070C0"/>
          <w:sz w:val="22"/>
        </w:rPr>
        <w:t>Understand</w:t>
      </w:r>
      <w:r>
        <w:rPr>
          <w:rFonts w:ascii="Times New Roman" w:hAnsi="Times New Roman"/>
          <w:sz w:val="22"/>
        </w:rPr>
        <w:t xml:space="preserve"> the importance and benefit of using </w:t>
      </w:r>
      <w:r w:rsidR="000D03AE" w:rsidRPr="006262CC">
        <w:rPr>
          <w:rFonts w:ascii="Times New Roman" w:hAnsi="Times New Roman"/>
          <w:b/>
          <w:color w:val="0070C0"/>
          <w:sz w:val="22"/>
        </w:rPr>
        <w:t xml:space="preserve">a </w:t>
      </w:r>
      <w:r w:rsidR="00E63CB6" w:rsidRPr="006262CC">
        <w:rPr>
          <w:rFonts w:ascii="Times New Roman" w:hAnsi="Times New Roman"/>
          <w:b/>
          <w:color w:val="0070C0"/>
          <w:sz w:val="22"/>
        </w:rPr>
        <w:t>well</w:t>
      </w:r>
      <w:r w:rsidR="00E63CB6">
        <w:rPr>
          <w:rFonts w:ascii="Times New Roman" w:hAnsi="Times New Roman"/>
          <w:sz w:val="22"/>
        </w:rPr>
        <w:t>-defined</w:t>
      </w:r>
      <w:r w:rsidR="000D03AE" w:rsidRPr="006262CC">
        <w:rPr>
          <w:rFonts w:ascii="Times New Roman" w:hAnsi="Times New Roman"/>
          <w:b/>
          <w:color w:val="0070C0"/>
          <w:sz w:val="22"/>
        </w:rPr>
        <w:t xml:space="preserve"> data collection process</w:t>
      </w:r>
    </w:p>
    <w:p w14:paraId="4333EDE0" w14:textId="77777777" w:rsidR="00763A54" w:rsidRDefault="00763A54" w:rsidP="00752A23">
      <w:pPr>
        <w:pStyle w:val="BodyText3"/>
        <w:numPr>
          <w:ilvl w:val="0"/>
          <w:numId w:val="16"/>
        </w:numPr>
        <w:ind w:right="756"/>
        <w:rPr>
          <w:rFonts w:ascii="Times New Roman" w:hAnsi="Times New Roman"/>
          <w:sz w:val="22"/>
        </w:rPr>
      </w:pPr>
      <w:r w:rsidRPr="006262CC">
        <w:rPr>
          <w:rFonts w:ascii="Times New Roman" w:hAnsi="Times New Roman"/>
          <w:b/>
          <w:color w:val="0070C0"/>
          <w:sz w:val="22"/>
        </w:rPr>
        <w:t>Comprehend</w:t>
      </w:r>
      <w:r>
        <w:rPr>
          <w:rFonts w:ascii="Times New Roman" w:hAnsi="Times New Roman"/>
          <w:sz w:val="22"/>
        </w:rPr>
        <w:t xml:space="preserve"> </w:t>
      </w:r>
      <w:r w:rsidRPr="006262CC">
        <w:rPr>
          <w:rFonts w:ascii="Times New Roman" w:hAnsi="Times New Roman"/>
          <w:b/>
          <w:color w:val="0070C0"/>
          <w:sz w:val="22"/>
        </w:rPr>
        <w:t xml:space="preserve">the </w:t>
      </w:r>
      <w:r w:rsidR="000D03AE" w:rsidRPr="006262CC">
        <w:rPr>
          <w:rFonts w:ascii="Times New Roman" w:hAnsi="Times New Roman"/>
          <w:b/>
          <w:color w:val="0070C0"/>
          <w:sz w:val="22"/>
        </w:rPr>
        <w:t>appraisal life cycle</w:t>
      </w:r>
      <w:r w:rsidR="000D03AE">
        <w:rPr>
          <w:rFonts w:ascii="Times New Roman" w:hAnsi="Times New Roman"/>
          <w:sz w:val="22"/>
        </w:rPr>
        <w:t xml:space="preserve"> and </w:t>
      </w:r>
      <w:r>
        <w:rPr>
          <w:rFonts w:ascii="Times New Roman" w:hAnsi="Times New Roman"/>
          <w:sz w:val="22"/>
        </w:rPr>
        <w:t xml:space="preserve">the </w:t>
      </w:r>
      <w:r w:rsidR="000D03AE">
        <w:rPr>
          <w:rFonts w:ascii="Times New Roman" w:hAnsi="Times New Roman"/>
          <w:sz w:val="22"/>
        </w:rPr>
        <w:t xml:space="preserve">relationship of the reference model to the appraisal process. </w:t>
      </w:r>
      <w:r>
        <w:rPr>
          <w:rFonts w:ascii="Times New Roman" w:hAnsi="Times New Roman"/>
          <w:sz w:val="22"/>
        </w:rPr>
        <w:t xml:space="preserve"> </w:t>
      </w:r>
    </w:p>
    <w:p w14:paraId="3A397228" w14:textId="77777777" w:rsidR="000256CA" w:rsidRPr="000256CA" w:rsidRDefault="00763A54" w:rsidP="00752A23">
      <w:pPr>
        <w:pStyle w:val="BodyText3"/>
        <w:numPr>
          <w:ilvl w:val="0"/>
          <w:numId w:val="16"/>
        </w:numPr>
        <w:ind w:right="756"/>
        <w:rPr>
          <w:sz w:val="22"/>
        </w:rPr>
      </w:pPr>
      <w:r w:rsidRPr="006262CC">
        <w:rPr>
          <w:rFonts w:ascii="Times New Roman" w:hAnsi="Times New Roman"/>
          <w:b/>
          <w:color w:val="0070C0"/>
          <w:sz w:val="22"/>
        </w:rPr>
        <w:t xml:space="preserve">Understand </w:t>
      </w:r>
      <w:r w:rsidR="00BC6C36" w:rsidRPr="006262CC">
        <w:rPr>
          <w:rFonts w:ascii="Times New Roman" w:hAnsi="Times New Roman"/>
          <w:b/>
          <w:color w:val="0070C0"/>
          <w:sz w:val="22"/>
        </w:rPr>
        <w:t>practical</w:t>
      </w:r>
      <w:r w:rsidR="00EC3B80" w:rsidRPr="006262CC">
        <w:rPr>
          <w:rFonts w:ascii="Times New Roman" w:hAnsi="Times New Roman"/>
          <w:b/>
          <w:color w:val="0070C0"/>
          <w:sz w:val="22"/>
        </w:rPr>
        <w:t xml:space="preserve"> </w:t>
      </w:r>
      <w:r w:rsidRPr="006262CC">
        <w:rPr>
          <w:rFonts w:ascii="Times New Roman" w:hAnsi="Times New Roman"/>
          <w:b/>
          <w:color w:val="0070C0"/>
          <w:sz w:val="22"/>
        </w:rPr>
        <w:t>approaches</w:t>
      </w:r>
      <w:r>
        <w:rPr>
          <w:rFonts w:ascii="Times New Roman" w:hAnsi="Times New Roman"/>
          <w:sz w:val="22"/>
        </w:rPr>
        <w:t xml:space="preserve"> to </w:t>
      </w:r>
      <w:r w:rsidR="000D03AE">
        <w:rPr>
          <w:rFonts w:ascii="Times New Roman" w:hAnsi="Times New Roman"/>
          <w:sz w:val="22"/>
        </w:rPr>
        <w:t xml:space="preserve">collecting, organizing and evaluating objective evidence </w:t>
      </w:r>
    </w:p>
    <w:p w14:paraId="48DD42D2" w14:textId="77777777" w:rsidR="000256CA" w:rsidRPr="000256CA" w:rsidRDefault="000256CA" w:rsidP="000256CA">
      <w:pPr>
        <w:pStyle w:val="BodyText3"/>
        <w:ind w:right="756"/>
        <w:rPr>
          <w:sz w:val="22"/>
        </w:rPr>
      </w:pPr>
    </w:p>
    <w:p w14:paraId="6B594768" w14:textId="77777777" w:rsidR="00763A54" w:rsidRPr="000C588A" w:rsidRDefault="000256CA" w:rsidP="000256CA">
      <w:pPr>
        <w:pStyle w:val="BodyText3"/>
        <w:ind w:right="756"/>
        <w:rPr>
          <w:b/>
          <w:sz w:val="22"/>
        </w:rPr>
      </w:pPr>
      <w:r w:rsidRPr="000C588A">
        <w:rPr>
          <w:rFonts w:ascii="Times New Roman" w:hAnsi="Times New Roman"/>
          <w:b/>
          <w:sz w:val="22"/>
        </w:rPr>
        <w:t xml:space="preserve">The direct benefit of this course is </w:t>
      </w:r>
      <w:r w:rsidR="000D03AE" w:rsidRPr="000C588A">
        <w:rPr>
          <w:rFonts w:ascii="Times New Roman" w:hAnsi="Times New Roman"/>
          <w:b/>
          <w:sz w:val="22"/>
        </w:rPr>
        <w:t xml:space="preserve">to ensure your organization is ready </w:t>
      </w:r>
      <w:r w:rsidR="00FB5204" w:rsidRPr="000C588A">
        <w:rPr>
          <w:rFonts w:ascii="Times New Roman" w:hAnsi="Times New Roman"/>
          <w:b/>
          <w:sz w:val="22"/>
        </w:rPr>
        <w:t xml:space="preserve">to succeed in </w:t>
      </w:r>
      <w:r w:rsidR="000D03AE" w:rsidRPr="000C588A">
        <w:rPr>
          <w:rFonts w:ascii="Times New Roman" w:hAnsi="Times New Roman"/>
          <w:b/>
          <w:sz w:val="22"/>
        </w:rPr>
        <w:t>an objective appraisal</w:t>
      </w:r>
      <w:r w:rsidR="00FB5204" w:rsidRPr="000C588A">
        <w:rPr>
          <w:rFonts w:ascii="Times New Roman" w:hAnsi="Times New Roman"/>
          <w:b/>
          <w:sz w:val="22"/>
        </w:rPr>
        <w:t>, reducing preparation costs while simultaneously mitigating appraisal risk.</w:t>
      </w:r>
    </w:p>
    <w:p w14:paraId="5B1547CE" w14:textId="77777777" w:rsidR="00763A54" w:rsidRDefault="00574F65" w:rsidP="00752A23">
      <w:pPr>
        <w:ind w:right="756"/>
      </w:pPr>
      <w:r>
        <w:rPr>
          <w:noProof/>
        </w:rPr>
        <w:pict w14:anchorId="247F84A8">
          <v:shape id="_x0000_s1038" type="#_x0000_t202" style="position:absolute;margin-left:9pt;margin-top:296.8pt;width:495pt;height:23.65pt;z-index:251657216" stroked="f">
            <v:textbox style="mso-next-textbox:#_x0000_s1038">
              <w:txbxContent>
                <w:p w14:paraId="02437C3B" w14:textId="6BEB8C4D" w:rsidR="00574F65" w:rsidRPr="00F54B3B" w:rsidRDefault="00313035" w:rsidP="00CB69AD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4"/>
                      <w:szCs w:val="14"/>
                      <w:vertAlign w:val="superscript"/>
                    </w:rPr>
                    <w:t>™</w:t>
                  </w:r>
                  <w:r w:rsidR="000C588A">
                    <w:rPr>
                      <w:rFonts w:ascii="Arial" w:hAnsi="Arial" w:cs="Arial"/>
                      <w:iCs/>
                      <w:sz w:val="14"/>
                      <w:szCs w:val="14"/>
                      <w:vertAlign w:val="superscript"/>
                    </w:rPr>
                    <w:t xml:space="preserve"> </w:t>
                  </w:r>
                  <w:r w:rsidR="00574F65">
                    <w:rPr>
                      <w:rFonts w:ascii="Bookman Old Style" w:hAnsi="Bookman Old Style"/>
                      <w:sz w:val="16"/>
                      <w:szCs w:val="16"/>
                    </w:rPr>
                    <w:t>Appraisal Wizard is registered in the U.S. Pat</w:t>
                  </w:r>
                  <w:r w:rsidR="00574F65" w:rsidRPr="00F54B3B">
                    <w:rPr>
                      <w:rFonts w:ascii="Bookman Old Style" w:hAnsi="Bookman Old Style"/>
                      <w:sz w:val="16"/>
                      <w:szCs w:val="16"/>
                    </w:rPr>
                    <w:t>ent &amp; Trademark Office by</w:t>
                  </w:r>
                  <w:r w:rsidR="00574F65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Integrated System Diagnostics,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LLC</w:t>
                  </w:r>
                  <w:r w:rsidR="00574F65">
                    <w:rPr>
                      <w:rFonts w:ascii="Bookman Old Style" w:hAnsi="Bookman Old Style"/>
                      <w:sz w:val="16"/>
                      <w:szCs w:val="1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 w14:anchorId="4B10D51B">
          <v:shape id="_x0000_s1034" type="#_x0000_t202" style="position:absolute;margin-left:257.85pt;margin-top:14.1pt;width:261pt;height:258.55pt;z-index:251656192" stroked="f">
            <v:textbox style="mso-next-textbox:#_x0000_s1034">
              <w:txbxContent>
                <w:p w14:paraId="29DB38E6" w14:textId="77777777" w:rsidR="00062852" w:rsidRDefault="00062852" w:rsidP="00062852">
                  <w:pPr>
                    <w:pStyle w:val="Heading1"/>
                    <w:jc w:val="left"/>
                    <w:rPr>
                      <w:b/>
                      <w:sz w:val="20"/>
                      <w:u w:val="single"/>
                    </w:rPr>
                  </w:pPr>
                  <w:r>
                    <w:rPr>
                      <w:b/>
                      <w:sz w:val="20"/>
                      <w:u w:val="single"/>
                    </w:rPr>
                    <w:t xml:space="preserve">Prerequisites  </w:t>
                  </w:r>
                </w:p>
                <w:p w14:paraId="5A22A5F2" w14:textId="0C0C745C" w:rsidR="00062852" w:rsidRDefault="00062852" w:rsidP="00062852">
                  <w:pPr>
                    <w:spacing w:before="60"/>
                  </w:pPr>
                  <w:r>
                    <w:t>This is an introductory course</w:t>
                  </w:r>
                  <w:r w:rsidR="0046042D">
                    <w:t>. There are no prerequisites. S</w:t>
                  </w:r>
                  <w:r w:rsidR="000C588A">
                    <w:t xml:space="preserve">ome reference model </w:t>
                  </w:r>
                  <w:r w:rsidR="0046042D">
                    <w:t xml:space="preserve">and </w:t>
                  </w:r>
                  <w:r w:rsidR="000D03AE">
                    <w:t xml:space="preserve">appraisal process </w:t>
                  </w:r>
                  <w:r w:rsidR="0046042D">
                    <w:t xml:space="preserve">knowledge </w:t>
                  </w:r>
                  <w:r w:rsidR="00E63CB6">
                    <w:t>are</w:t>
                  </w:r>
                  <w:r w:rsidR="000D03AE">
                    <w:t xml:space="preserve"> </w:t>
                  </w:r>
                  <w:r>
                    <w:t>helpful.</w:t>
                  </w:r>
                  <w:r>
                    <w:rPr>
                      <w:iCs/>
                    </w:rPr>
                    <w:t xml:space="preserve"> </w:t>
                  </w:r>
                </w:p>
                <w:p w14:paraId="7E451F4F" w14:textId="77777777" w:rsidR="00763A54" w:rsidRDefault="00763A54">
                  <w:pPr>
                    <w:rPr>
                      <w:b/>
                    </w:rPr>
                  </w:pPr>
                </w:p>
                <w:p w14:paraId="3CCF1734" w14:textId="77777777" w:rsidR="00763A54" w:rsidRDefault="00763A54" w:rsidP="00062852">
                  <w:pPr>
                    <w:pStyle w:val="Heading3"/>
                    <w:ind w:left="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Who Will Benefit</w:t>
                  </w:r>
                </w:p>
                <w:p w14:paraId="6FBA0951" w14:textId="77777777" w:rsidR="00763A54" w:rsidRDefault="00763A54" w:rsidP="00062852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360"/>
                    </w:tabs>
                    <w:spacing w:before="60"/>
                    <w:ind w:left="360"/>
                    <w:rPr>
                      <w:bCs/>
                    </w:rPr>
                  </w:pPr>
                  <w:r>
                    <w:t xml:space="preserve">Practitioners and managers </w:t>
                  </w:r>
                  <w:r w:rsidR="000D03AE">
                    <w:t>preparing their organization for a process appraisal</w:t>
                  </w:r>
                  <w:r>
                    <w:t xml:space="preserve"> </w:t>
                  </w:r>
                </w:p>
                <w:p w14:paraId="4F046A0D" w14:textId="77777777" w:rsidR="00763A54" w:rsidRDefault="00763A54" w:rsidP="00062852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360"/>
                    </w:tabs>
                    <w:spacing w:before="60"/>
                    <w:ind w:left="360"/>
                    <w:rPr>
                      <w:bCs/>
                    </w:rPr>
                  </w:pPr>
                  <w:r>
                    <w:rPr>
                      <w:bCs/>
                    </w:rPr>
                    <w:t>Individuals design</w:t>
                  </w:r>
                  <w:r w:rsidR="006262CC">
                    <w:rPr>
                      <w:bCs/>
                    </w:rPr>
                    <w:t>ated as team members for a model-</w:t>
                  </w:r>
                  <w:r>
                    <w:rPr>
                      <w:bCs/>
                    </w:rPr>
                    <w:t>based appraisal.</w:t>
                  </w:r>
                </w:p>
                <w:p w14:paraId="776557DA" w14:textId="77777777" w:rsidR="00763A54" w:rsidRDefault="00763A54" w:rsidP="00062852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360"/>
                    </w:tabs>
                    <w:spacing w:before="60"/>
                    <w:ind w:left="360"/>
                    <w:rPr>
                      <w:rFonts w:ascii="Bookman Old Style" w:hAnsi="Bookman Old Style"/>
                      <w:bCs/>
                    </w:rPr>
                  </w:pPr>
                  <w:r>
                    <w:rPr>
                      <w:bCs/>
                    </w:rPr>
                    <w:t>Process group mem</w:t>
                  </w:r>
                  <w:r w:rsidR="000D03AE">
                    <w:rPr>
                      <w:bCs/>
                    </w:rPr>
                    <w:t>bers who are responsible for lea</w:t>
                  </w:r>
                  <w:r>
                    <w:rPr>
                      <w:bCs/>
                    </w:rPr>
                    <w:t>ding process</w:t>
                  </w:r>
                  <w:r w:rsidR="000D03AE">
                    <w:rPr>
                      <w:bCs/>
                    </w:rPr>
                    <w:t xml:space="preserve"> appraisal preparation activities</w:t>
                  </w:r>
                </w:p>
                <w:p w14:paraId="05E82BF4" w14:textId="77777777" w:rsidR="00062852" w:rsidRDefault="00062852" w:rsidP="00062852">
                  <w:pPr>
                    <w:shd w:val="clear" w:color="auto" w:fill="FFFFFF"/>
                    <w:rPr>
                      <w:rFonts w:ascii="Bookman Old Style" w:hAnsi="Bookman Old Style"/>
                      <w:b/>
                      <w:u w:val="single"/>
                    </w:rPr>
                  </w:pPr>
                </w:p>
                <w:p w14:paraId="36EAD687" w14:textId="77777777" w:rsidR="00062852" w:rsidRDefault="00062852" w:rsidP="00062852">
                  <w:pPr>
                    <w:shd w:val="clear" w:color="auto" w:fill="FFFFFF"/>
                    <w:rPr>
                      <w:rFonts w:ascii="Bookman Old Style" w:hAnsi="Bookman Old Style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u w:val="single"/>
                    </w:rPr>
                    <w:t>Client Site Logistics Requirements</w:t>
                  </w:r>
                  <w:r>
                    <w:rPr>
                      <w:rFonts w:ascii="Bookman Old Style" w:hAnsi="Bookman Old Style"/>
                      <w:u w:val="single"/>
                    </w:rPr>
                    <w:t xml:space="preserve"> </w:t>
                  </w:r>
                </w:p>
                <w:p w14:paraId="6A34DD4B" w14:textId="77777777" w:rsidR="00062852" w:rsidRDefault="00062852" w:rsidP="00062852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60"/>
                    <w:rPr>
                      <w:bCs/>
                    </w:rPr>
                  </w:pPr>
                  <w:r>
                    <w:rPr>
                      <w:bCs/>
                    </w:rPr>
                    <w:t>LCD projector and screen</w:t>
                  </w:r>
                </w:p>
                <w:p w14:paraId="091A87CD" w14:textId="77777777" w:rsidR="00062852" w:rsidRPr="00062852" w:rsidRDefault="00062852" w:rsidP="00062852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60"/>
                    <w:rPr>
                      <w:rFonts w:ascii="Bookman Old Style" w:hAnsi="Bookman Old Style"/>
                      <w:bCs/>
                    </w:rPr>
                  </w:pPr>
                  <w:r>
                    <w:rPr>
                      <w:bCs/>
                    </w:rPr>
                    <w:t>Flip charts</w:t>
                  </w:r>
                </w:p>
                <w:p w14:paraId="59D8791F" w14:textId="77777777" w:rsidR="00763A54" w:rsidRPr="00574F65" w:rsidRDefault="00062852" w:rsidP="006262CC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60"/>
                    <w:rPr>
                      <w:rFonts w:ascii="Bookman Old Style" w:hAnsi="Bookman Old Style"/>
                      <w:bCs/>
                    </w:rPr>
                  </w:pPr>
                  <w:r>
                    <w:rPr>
                      <w:bCs/>
                    </w:rPr>
                    <w:t>Classroom for 20 participants and 1 instructor</w:t>
                  </w:r>
                </w:p>
                <w:p w14:paraId="60AB7632" w14:textId="7795889A" w:rsidR="00574F65" w:rsidRPr="006262CC" w:rsidRDefault="00574F65" w:rsidP="006262CC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60"/>
                    <w:rPr>
                      <w:rFonts w:ascii="Bookman Old Style" w:hAnsi="Bookman Old Style"/>
                      <w:bCs/>
                    </w:rPr>
                  </w:pPr>
                  <w:r>
                    <w:rPr>
                      <w:bCs/>
                    </w:rPr>
                    <w:t>ISD will use its tool, Appraisal Wizard</w:t>
                  </w:r>
                  <w:r w:rsidR="00313035">
                    <w:rPr>
                      <w:rFonts w:ascii="Arial" w:hAnsi="Arial" w:cs="Arial"/>
                      <w:iCs/>
                      <w:sz w:val="14"/>
                      <w:szCs w:val="14"/>
                      <w:vertAlign w:val="superscript"/>
                    </w:rPr>
                    <w:t>™</w:t>
                  </w:r>
                  <w:r>
                    <w:rPr>
                      <w:bCs/>
                    </w:rPr>
                    <w:t>, to demonstrate concepts and techniques presented.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5FCC4FDD">
          <v:shape id="_x0000_s1033" type="#_x0000_t202" style="position:absolute;margin-left:9pt;margin-top:14.1pt;width:244.8pt;height:258.55pt;z-index:251655168" fillcolor="#ff9" stroked="f">
            <v:textbox style="mso-next-textbox:#_x0000_s1033">
              <w:txbxContent>
                <w:p w14:paraId="597538EA" w14:textId="77777777" w:rsidR="00763A54" w:rsidRPr="004F13A6" w:rsidRDefault="004F13A6" w:rsidP="006262CC">
                  <w:pPr>
                    <w:pStyle w:val="Heading2"/>
                    <w:shd w:val="clear" w:color="auto" w:fill="FFFF99"/>
                    <w:spacing w:before="100" w:beforeAutospacing="1" w:after="100" w:afterAutospacing="1"/>
                    <w:ind w:left="288" w:right="288" w:hanging="288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Course Content</w:t>
                  </w:r>
                </w:p>
                <w:p w14:paraId="011556C8" w14:textId="77777777" w:rsidR="005E043A" w:rsidRPr="004F13A6" w:rsidRDefault="00444F35" w:rsidP="006262CC">
                  <w:pPr>
                    <w:numPr>
                      <w:ilvl w:val="0"/>
                      <w:numId w:val="13"/>
                    </w:numPr>
                    <w:shd w:val="clear" w:color="auto" w:fill="FFFF99"/>
                    <w:ind w:left="576" w:right="288" w:hanging="576"/>
                    <w:rPr>
                      <w:bCs/>
                    </w:rPr>
                  </w:pPr>
                  <w:r>
                    <w:rPr>
                      <w:bCs/>
                    </w:rPr>
                    <w:t>A</w:t>
                  </w:r>
                  <w:r w:rsidR="000D03AE">
                    <w:rPr>
                      <w:bCs/>
                    </w:rPr>
                    <w:t>ppraisal life cycle</w:t>
                  </w:r>
                  <w:r>
                    <w:rPr>
                      <w:bCs/>
                    </w:rPr>
                    <w:t xml:space="preserve"> </w:t>
                  </w:r>
                  <w:r w:rsidR="00BE0DA2">
                    <w:rPr>
                      <w:bCs/>
                    </w:rPr>
                    <w:t xml:space="preserve">model </w:t>
                  </w:r>
                  <w:r>
                    <w:rPr>
                      <w:bCs/>
                    </w:rPr>
                    <w:t>overview</w:t>
                  </w:r>
                </w:p>
                <w:p w14:paraId="2AAEEE1B" w14:textId="77777777" w:rsidR="000D03AE" w:rsidRDefault="000D03AE" w:rsidP="006262CC">
                  <w:pPr>
                    <w:numPr>
                      <w:ilvl w:val="0"/>
                      <w:numId w:val="13"/>
                    </w:numPr>
                    <w:shd w:val="clear" w:color="auto" w:fill="FFFF99"/>
                    <w:ind w:left="576" w:right="288" w:hanging="576"/>
                    <w:rPr>
                      <w:bCs/>
                    </w:rPr>
                  </w:pPr>
                  <w:r>
                    <w:rPr>
                      <w:bCs/>
                    </w:rPr>
                    <w:t>Understanding objective evidence</w:t>
                  </w:r>
                  <w:r w:rsidR="00BE0DA2">
                    <w:rPr>
                      <w:bCs/>
                    </w:rPr>
                    <w:t xml:space="preserve"> needs</w:t>
                  </w:r>
                </w:p>
                <w:p w14:paraId="13F1452C" w14:textId="77777777" w:rsidR="005E043A" w:rsidRPr="004F13A6" w:rsidRDefault="000D03AE" w:rsidP="006262CC">
                  <w:pPr>
                    <w:numPr>
                      <w:ilvl w:val="0"/>
                      <w:numId w:val="13"/>
                    </w:numPr>
                    <w:shd w:val="clear" w:color="auto" w:fill="FFFF99"/>
                    <w:ind w:left="576" w:right="288" w:hanging="576"/>
                    <w:rPr>
                      <w:bCs/>
                    </w:rPr>
                  </w:pPr>
                  <w:r>
                    <w:rPr>
                      <w:bCs/>
                    </w:rPr>
                    <w:t>Data collection techniques</w:t>
                  </w:r>
                </w:p>
                <w:p w14:paraId="29F77347" w14:textId="77777777" w:rsidR="00763A54" w:rsidRPr="004F13A6" w:rsidRDefault="000D03AE" w:rsidP="006262CC">
                  <w:pPr>
                    <w:numPr>
                      <w:ilvl w:val="0"/>
                      <w:numId w:val="13"/>
                    </w:numPr>
                    <w:shd w:val="clear" w:color="auto" w:fill="FFFF99"/>
                    <w:ind w:left="576" w:right="288" w:hanging="576"/>
                    <w:rPr>
                      <w:bCs/>
                    </w:rPr>
                  </w:pPr>
                  <w:r>
                    <w:rPr>
                      <w:bCs/>
                    </w:rPr>
                    <w:t xml:space="preserve">Data validation techniques </w:t>
                  </w:r>
                  <w:r w:rsidR="00763A54" w:rsidRPr="004F13A6">
                    <w:rPr>
                      <w:bCs/>
                    </w:rPr>
                    <w:t xml:space="preserve"> </w:t>
                  </w:r>
                </w:p>
                <w:p w14:paraId="150E352A" w14:textId="77777777" w:rsidR="00763A54" w:rsidRPr="004F13A6" w:rsidRDefault="006262CC" w:rsidP="006262CC">
                  <w:pPr>
                    <w:numPr>
                      <w:ilvl w:val="0"/>
                      <w:numId w:val="13"/>
                    </w:numPr>
                    <w:shd w:val="clear" w:color="auto" w:fill="FFFF99"/>
                    <w:ind w:left="576" w:right="288" w:hanging="576"/>
                    <w:rPr>
                      <w:bCs/>
                    </w:rPr>
                  </w:pPr>
                  <w:r>
                    <w:rPr>
                      <w:bCs/>
                    </w:rPr>
                    <w:t>P</w:t>
                  </w:r>
                  <w:r w:rsidR="00BE0DA2">
                    <w:rPr>
                      <w:bCs/>
                    </w:rPr>
                    <w:t>ractice</w:t>
                  </w:r>
                  <w:r w:rsidR="00444F35">
                    <w:rPr>
                      <w:bCs/>
                    </w:rPr>
                    <w:t xml:space="preserve"> interpretations</w:t>
                  </w:r>
                </w:p>
                <w:p w14:paraId="5D1A373A" w14:textId="476506C6" w:rsidR="00763A54" w:rsidRPr="00444F35" w:rsidRDefault="00444F35" w:rsidP="006262CC">
                  <w:pPr>
                    <w:numPr>
                      <w:ilvl w:val="0"/>
                      <w:numId w:val="13"/>
                    </w:numPr>
                    <w:shd w:val="clear" w:color="auto" w:fill="FFFF99"/>
                    <w:ind w:right="288"/>
                    <w:rPr>
                      <w:bCs/>
                    </w:rPr>
                  </w:pPr>
                  <w:r>
                    <w:rPr>
                      <w:bCs/>
                    </w:rPr>
                    <w:t xml:space="preserve">Practice </w:t>
                  </w:r>
                  <w:r w:rsidR="00763A54" w:rsidRPr="004F13A6">
                    <w:rPr>
                      <w:bCs/>
                    </w:rPr>
                    <w:t xml:space="preserve"> implementation</w:t>
                  </w:r>
                  <w:r w:rsidR="00BE0DA2">
                    <w:rPr>
                      <w:bCs/>
                    </w:rPr>
                    <w:t xml:space="preserve"> rules and guidelines</w:t>
                  </w:r>
                </w:p>
                <w:p w14:paraId="51C59FA5" w14:textId="77777777" w:rsidR="006262CC" w:rsidRDefault="006262CC" w:rsidP="006262CC">
                  <w:pPr>
                    <w:pStyle w:val="BodyText3"/>
                    <w:rPr>
                      <w:b/>
                      <w:sz w:val="20"/>
                      <w:u w:val="single"/>
                    </w:rPr>
                  </w:pPr>
                </w:p>
                <w:p w14:paraId="258A70EF" w14:textId="77777777" w:rsidR="006262CC" w:rsidRDefault="006262CC" w:rsidP="006262CC">
                  <w:pPr>
                    <w:pStyle w:val="BodyText3"/>
                    <w:rPr>
                      <w:b/>
                      <w:sz w:val="20"/>
                      <w:u w:val="single"/>
                    </w:rPr>
                  </w:pPr>
                  <w:r>
                    <w:rPr>
                      <w:b/>
                      <w:sz w:val="20"/>
                      <w:u w:val="single"/>
                    </w:rPr>
                    <w:t>Material Provided</w:t>
                  </w:r>
                </w:p>
                <w:p w14:paraId="4B1B3B31" w14:textId="77777777" w:rsidR="006262CC" w:rsidRDefault="006262CC" w:rsidP="006262CC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>
                    <w:rPr>
                      <w:iCs/>
                    </w:rPr>
                    <w:t>Presentation hard copy and exercise materials</w:t>
                  </w:r>
                </w:p>
                <w:p w14:paraId="6EBAB3BE" w14:textId="77777777" w:rsidR="006262CC" w:rsidRPr="00062852" w:rsidRDefault="006262CC" w:rsidP="006262CC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ascii="Bookman Old Style" w:hAnsi="Bookman Old Style"/>
                      <w:iCs/>
                    </w:rPr>
                  </w:pPr>
                  <w:r>
                    <w:rPr>
                      <w:iCs/>
                    </w:rPr>
                    <w:t>Reference materials (i.e., checklists, guidelines, frequently asked questions, etc.)</w:t>
                  </w:r>
                </w:p>
                <w:p w14:paraId="0B8E8447" w14:textId="77777777" w:rsidR="002400B0" w:rsidRPr="004F13A6" w:rsidRDefault="004F13A6" w:rsidP="006262CC">
                  <w:pPr>
                    <w:shd w:val="clear" w:color="auto" w:fill="FFFF99"/>
                    <w:spacing w:before="100" w:beforeAutospacing="1" w:after="100" w:afterAutospacing="1"/>
                    <w:ind w:left="288" w:right="288" w:hanging="288"/>
                    <w:rPr>
                      <w:rFonts w:ascii="Bookman Old Style" w:hAnsi="Bookman Old Style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u w:val="single"/>
                    </w:rPr>
                    <w:t>Co</w:t>
                  </w:r>
                  <w:r w:rsidR="002400B0" w:rsidRPr="004F13A6">
                    <w:rPr>
                      <w:rFonts w:ascii="Bookman Old Style" w:hAnsi="Bookman Old Style"/>
                      <w:b/>
                      <w:u w:val="single"/>
                    </w:rPr>
                    <w:t>urse Duration</w:t>
                  </w:r>
                  <w:r w:rsidR="002400B0" w:rsidRPr="004F13A6">
                    <w:rPr>
                      <w:rFonts w:ascii="Bookman Old Style" w:hAnsi="Bookman Old Style"/>
                      <w:u w:val="single"/>
                    </w:rPr>
                    <w:t xml:space="preserve"> </w:t>
                  </w:r>
                </w:p>
                <w:p w14:paraId="75753BD5" w14:textId="77777777" w:rsidR="002400B0" w:rsidRPr="004F13A6" w:rsidRDefault="00444F35" w:rsidP="006262CC">
                  <w:pPr>
                    <w:numPr>
                      <w:ilvl w:val="0"/>
                      <w:numId w:val="13"/>
                    </w:numPr>
                    <w:shd w:val="clear" w:color="auto" w:fill="FFFF99"/>
                    <w:ind w:right="288"/>
                    <w:rPr>
                      <w:bCs/>
                    </w:rPr>
                  </w:pPr>
                  <w:r>
                    <w:rPr>
                      <w:bCs/>
                    </w:rPr>
                    <w:t>1 day</w:t>
                  </w:r>
                </w:p>
                <w:p w14:paraId="2D854261" w14:textId="77777777" w:rsidR="00574F65" w:rsidRPr="00574F65" w:rsidRDefault="00574F65" w:rsidP="00574F65">
                  <w:pPr>
                    <w:numPr>
                      <w:ilvl w:val="0"/>
                      <w:numId w:val="13"/>
                    </w:numPr>
                    <w:shd w:val="clear" w:color="auto" w:fill="FFFF99"/>
                    <w:ind w:right="288"/>
                    <w:rPr>
                      <w:bCs/>
                    </w:rPr>
                  </w:pPr>
                  <w:r>
                    <w:t>Lectures, demonstrations, and class exercises</w:t>
                  </w:r>
                </w:p>
                <w:p w14:paraId="6C506192" w14:textId="20B909A6" w:rsidR="00062852" w:rsidRPr="00574F65" w:rsidRDefault="004F13A6" w:rsidP="00574F65">
                  <w:pPr>
                    <w:numPr>
                      <w:ilvl w:val="0"/>
                      <w:numId w:val="13"/>
                    </w:numPr>
                    <w:shd w:val="clear" w:color="auto" w:fill="FFFF99"/>
                    <w:ind w:right="288"/>
                    <w:rPr>
                      <w:bCs/>
                    </w:rPr>
                  </w:pPr>
                  <w:r>
                    <w:rPr>
                      <w:bCs/>
                    </w:rPr>
                    <w:t xml:space="preserve">This class is available in </w:t>
                  </w:r>
                  <w:r w:rsidR="00E63CB6">
                    <w:rPr>
                      <w:bCs/>
                    </w:rPr>
                    <w:t xml:space="preserve">virtual </w:t>
                  </w:r>
                  <w:r w:rsidR="002400B0" w:rsidRPr="004F13A6">
                    <w:rPr>
                      <w:bCs/>
                    </w:rPr>
                    <w:t>public and client site forums</w:t>
                  </w:r>
                </w:p>
                <w:p w14:paraId="62BC122D" w14:textId="77777777" w:rsidR="00D943B6" w:rsidRDefault="00D943B6"/>
              </w:txbxContent>
            </v:textbox>
            <w10:wrap type="square"/>
          </v:shape>
        </w:pict>
      </w:r>
    </w:p>
    <w:sectPr w:rsidR="00763A54" w:rsidSect="00752A23">
      <w:headerReference w:type="default" r:id="rId7"/>
      <w:footerReference w:type="default" r:id="rId8"/>
      <w:pgSz w:w="12240" w:h="15840"/>
      <w:pgMar w:top="1710" w:right="630" w:bottom="1296" w:left="864" w:header="540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2188" w14:textId="77777777" w:rsidR="006741E8" w:rsidRDefault="006741E8">
      <w:r>
        <w:separator/>
      </w:r>
    </w:p>
  </w:endnote>
  <w:endnote w:type="continuationSeparator" w:id="0">
    <w:p w14:paraId="55BE15D8" w14:textId="77777777" w:rsidR="006741E8" w:rsidRDefault="0067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BFB2" w14:textId="3571444E" w:rsidR="00C712D8" w:rsidRPr="00F54B3B" w:rsidRDefault="00062852" w:rsidP="00062852">
    <w:pPr>
      <w:pStyle w:val="Footer"/>
      <w:tabs>
        <w:tab w:val="clear" w:pos="8640"/>
        <w:tab w:val="right" w:pos="10170"/>
      </w:tabs>
      <w:rPr>
        <w:sz w:val="16"/>
        <w:szCs w:val="16"/>
      </w:rPr>
    </w:pPr>
    <w:r w:rsidRPr="00F54B3B">
      <w:rPr>
        <w:sz w:val="16"/>
        <w:szCs w:val="16"/>
      </w:rPr>
      <w:t>© 200</w:t>
    </w:r>
    <w:r w:rsidR="00E93A51">
      <w:rPr>
        <w:sz w:val="16"/>
        <w:szCs w:val="16"/>
      </w:rPr>
      <w:t>7</w:t>
    </w:r>
    <w:r w:rsidR="00574F65">
      <w:rPr>
        <w:sz w:val="16"/>
        <w:szCs w:val="16"/>
      </w:rPr>
      <w:t>-</w:t>
    </w:r>
    <w:r w:rsidR="00313035">
      <w:rPr>
        <w:sz w:val="16"/>
        <w:szCs w:val="16"/>
      </w:rPr>
      <w:t>25</w:t>
    </w:r>
    <w:r w:rsidRPr="00F54B3B">
      <w:rPr>
        <w:sz w:val="16"/>
        <w:szCs w:val="16"/>
      </w:rPr>
      <w:t xml:space="preserve"> Integr</w:t>
    </w:r>
    <w:r w:rsidR="00574F65">
      <w:rPr>
        <w:sz w:val="16"/>
        <w:szCs w:val="16"/>
      </w:rPr>
      <w:t xml:space="preserve">ated System Diagnostics, </w:t>
    </w:r>
    <w:r w:rsidR="00313035">
      <w:rPr>
        <w:sz w:val="16"/>
        <w:szCs w:val="16"/>
      </w:rPr>
      <w:t>LLC</w:t>
    </w:r>
    <w:r w:rsidR="00574F65">
      <w:rPr>
        <w:sz w:val="16"/>
        <w:szCs w:val="16"/>
      </w:rPr>
      <w:tab/>
    </w:r>
    <w:r w:rsidR="00574F65">
      <w:rPr>
        <w:sz w:val="16"/>
        <w:szCs w:val="16"/>
      </w:rPr>
      <w:tab/>
      <w:t>110126_v2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73C3" w14:textId="77777777" w:rsidR="006741E8" w:rsidRDefault="006741E8">
      <w:r>
        <w:separator/>
      </w:r>
    </w:p>
  </w:footnote>
  <w:footnote w:type="continuationSeparator" w:id="0">
    <w:p w14:paraId="6D8E409B" w14:textId="77777777" w:rsidR="006741E8" w:rsidRDefault="0067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720D" w14:textId="77777777" w:rsidR="00B229AB" w:rsidRPr="00BD38FD" w:rsidRDefault="00BD38FD" w:rsidP="00BD38FD">
    <w:pPr>
      <w:pStyle w:val="Header"/>
      <w:tabs>
        <w:tab w:val="clear" w:pos="8640"/>
        <w:tab w:val="right" w:pos="10080"/>
      </w:tabs>
      <w:rPr>
        <w:rFonts w:ascii="Arial" w:hAnsi="Arial" w:cs="Arial"/>
        <w:sz w:val="16"/>
        <w:szCs w:val="16"/>
      </w:rPr>
    </w:pPr>
    <w:r>
      <w:rPr>
        <w:sz w:val="22"/>
      </w:rPr>
      <w:tab/>
    </w:r>
    <w:r>
      <w:rPr>
        <w:sz w:val="22"/>
      </w:rPr>
      <w:tab/>
    </w:r>
    <w:r w:rsidR="00B43CE2">
      <w:rPr>
        <w:rFonts w:ascii="Arial" w:hAnsi="Arial" w:cs="Arial"/>
        <w:sz w:val="16"/>
        <w:szCs w:val="16"/>
      </w:rPr>
      <w:t xml:space="preserve">Course Number </w:t>
    </w:r>
    <w:r w:rsidR="00F22DFD">
      <w:rPr>
        <w:rFonts w:ascii="Arial" w:hAnsi="Arial" w:cs="Arial"/>
        <w:sz w:val="16"/>
        <w:szCs w:val="16"/>
      </w:rPr>
      <w:t>–</w:t>
    </w:r>
    <w:r w:rsidR="00B43CE2">
      <w:rPr>
        <w:rFonts w:ascii="Arial" w:hAnsi="Arial" w:cs="Arial"/>
        <w:sz w:val="16"/>
        <w:szCs w:val="16"/>
      </w:rPr>
      <w:t xml:space="preserve"> </w:t>
    </w:r>
    <w:r w:rsidR="00F22DFD">
      <w:rPr>
        <w:rFonts w:ascii="Arial" w:hAnsi="Arial" w:cs="Arial"/>
        <w:sz w:val="16"/>
        <w:szCs w:val="16"/>
      </w:rPr>
      <w:t>SEM013</w:t>
    </w:r>
    <w:r w:rsidR="00B229AB" w:rsidRPr="00BD38FD">
      <w:rPr>
        <w:rFonts w:ascii="Arial" w:hAnsi="Arial" w:cs="Arial"/>
        <w:sz w:val="16"/>
        <w:szCs w:val="16"/>
      </w:rPr>
      <w:t xml:space="preserve">                                                                   </w:t>
    </w:r>
  </w:p>
  <w:p w14:paraId="671C1059" w14:textId="4B6F9A47" w:rsidR="00763A54" w:rsidRPr="00B229AB" w:rsidRDefault="00F73C10" w:rsidP="00F73C10">
    <w:pPr>
      <w:pStyle w:val="Header"/>
      <w:tabs>
        <w:tab w:val="clear" w:pos="4320"/>
        <w:tab w:val="clear" w:pos="8640"/>
        <w:tab w:val="right" w:pos="10170"/>
      </w:tabs>
    </w:pPr>
    <w:r w:rsidRPr="00C712D8">
      <w:pict w14:anchorId="74B8AD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1.6pt;height:35.4pt">
          <v:imagedata r:id="rId1" o:title="fulllogo"/>
        </v:shape>
      </w:pict>
    </w:r>
    <w:r w:rsidR="004D1480">
      <w:tab/>
    </w:r>
    <w:r w:rsidR="00313035">
      <w:rPr>
        <w:noProof/>
      </w:rPr>
    </w:r>
    <w:r w:rsidR="00313035">
      <w:pict w14:anchorId="3F884CF4">
        <v:shape id="_x0000_s2067" type="#_x0000_t75" style="width:150.15pt;height:57.95pt;mso-left-percent:-10001;mso-top-percent:-10001;mso-position-horizontal:absolute;mso-position-horizontal-relative:char;mso-position-vertical:absolute;mso-position-vertical-relative:line;mso-left-percent:-10001;mso-top-percent:-10001">
          <v:imagedata r:id="rId2" o:title=""/>
          <w10:anchorlock/>
        </v:shape>
      </w:pic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306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12C75"/>
    <w:multiLevelType w:val="hybridMultilevel"/>
    <w:tmpl w:val="84AC5C0E"/>
    <w:lvl w:ilvl="0" w:tplc="E224099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302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4418A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9F76BD"/>
    <w:multiLevelType w:val="hybridMultilevel"/>
    <w:tmpl w:val="6046ED0C"/>
    <w:lvl w:ilvl="0" w:tplc="038EBA22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005F5"/>
    <w:multiLevelType w:val="singleLevel"/>
    <w:tmpl w:val="7DEAFC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815DF5"/>
    <w:multiLevelType w:val="hybridMultilevel"/>
    <w:tmpl w:val="72D4D1A8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831FB"/>
    <w:multiLevelType w:val="singleLevel"/>
    <w:tmpl w:val="6E32DE04"/>
    <w:lvl w:ilvl="0">
      <w:start w:val="1"/>
      <w:numFmt w:val="bullet"/>
      <w:lvlText w:val="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</w:abstractNum>
  <w:abstractNum w:abstractNumId="8" w15:restartNumberingAfterBreak="0">
    <w:nsid w:val="2DEE3FF3"/>
    <w:multiLevelType w:val="hybridMultilevel"/>
    <w:tmpl w:val="38489C4A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F1AE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70673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F11A3E"/>
    <w:multiLevelType w:val="hybridMultilevel"/>
    <w:tmpl w:val="D9122946"/>
    <w:lvl w:ilvl="0" w:tplc="9FC61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432A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88523AF"/>
    <w:multiLevelType w:val="hybridMultilevel"/>
    <w:tmpl w:val="37E47970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C611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13FDE"/>
    <w:multiLevelType w:val="hybridMultilevel"/>
    <w:tmpl w:val="E3002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D740C9"/>
    <w:multiLevelType w:val="hybridMultilevel"/>
    <w:tmpl w:val="23B6891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C2FE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2A60AB8"/>
    <w:multiLevelType w:val="hybridMultilevel"/>
    <w:tmpl w:val="B6F0C3D4"/>
    <w:lvl w:ilvl="0" w:tplc="0DBC4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5C2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200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C44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064E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A6D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EA7F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7659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28B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019489">
    <w:abstractNumId w:val="12"/>
  </w:num>
  <w:num w:numId="2" w16cid:durableId="156849935">
    <w:abstractNumId w:val="0"/>
  </w:num>
  <w:num w:numId="3" w16cid:durableId="527790355">
    <w:abstractNumId w:val="5"/>
  </w:num>
  <w:num w:numId="4" w16cid:durableId="884020693">
    <w:abstractNumId w:val="2"/>
  </w:num>
  <w:num w:numId="5" w16cid:durableId="1265381473">
    <w:abstractNumId w:val="7"/>
  </w:num>
  <w:num w:numId="6" w16cid:durableId="1085683789">
    <w:abstractNumId w:val="3"/>
  </w:num>
  <w:num w:numId="7" w16cid:durableId="547424330">
    <w:abstractNumId w:val="10"/>
  </w:num>
  <w:num w:numId="8" w16cid:durableId="613513313">
    <w:abstractNumId w:val="9"/>
  </w:num>
  <w:num w:numId="9" w16cid:durableId="2085684460">
    <w:abstractNumId w:val="4"/>
  </w:num>
  <w:num w:numId="10" w16cid:durableId="205141453">
    <w:abstractNumId w:val="16"/>
  </w:num>
  <w:num w:numId="11" w16cid:durableId="641007851">
    <w:abstractNumId w:val="8"/>
  </w:num>
  <w:num w:numId="12" w16cid:durableId="1411585348">
    <w:abstractNumId w:val="1"/>
  </w:num>
  <w:num w:numId="13" w16cid:durableId="258829935">
    <w:abstractNumId w:val="13"/>
  </w:num>
  <w:num w:numId="14" w16cid:durableId="1710180261">
    <w:abstractNumId w:val="6"/>
  </w:num>
  <w:num w:numId="15" w16cid:durableId="1184245792">
    <w:abstractNumId w:val="15"/>
  </w:num>
  <w:num w:numId="16" w16cid:durableId="197351177">
    <w:abstractNumId w:val="11"/>
  </w:num>
  <w:num w:numId="17" w16cid:durableId="926425641">
    <w:abstractNumId w:val="17"/>
  </w:num>
  <w:num w:numId="18" w16cid:durableId="84235929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53526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color="white" stroke="f">
      <v:fill color="white"/>
      <v:stroke on="f"/>
      <o:colormenu v:ext="edit" fillcolor="#ff9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B80"/>
    <w:rsid w:val="000256CA"/>
    <w:rsid w:val="00062852"/>
    <w:rsid w:val="00083C33"/>
    <w:rsid w:val="000C588A"/>
    <w:rsid w:val="000D03AE"/>
    <w:rsid w:val="00136D16"/>
    <w:rsid w:val="001F29B6"/>
    <w:rsid w:val="002400B0"/>
    <w:rsid w:val="00266F0D"/>
    <w:rsid w:val="00313035"/>
    <w:rsid w:val="003B24A2"/>
    <w:rsid w:val="003E3C59"/>
    <w:rsid w:val="0042767A"/>
    <w:rsid w:val="004415F8"/>
    <w:rsid w:val="00444F35"/>
    <w:rsid w:val="0046042D"/>
    <w:rsid w:val="004B04B9"/>
    <w:rsid w:val="004D1480"/>
    <w:rsid w:val="004F13A6"/>
    <w:rsid w:val="00512043"/>
    <w:rsid w:val="00574F65"/>
    <w:rsid w:val="005910F1"/>
    <w:rsid w:val="005C2355"/>
    <w:rsid w:val="005E043A"/>
    <w:rsid w:val="005F2B7B"/>
    <w:rsid w:val="00615A86"/>
    <w:rsid w:val="006262CC"/>
    <w:rsid w:val="0066582D"/>
    <w:rsid w:val="006741E8"/>
    <w:rsid w:val="00685C0C"/>
    <w:rsid w:val="006C2A8C"/>
    <w:rsid w:val="006D7E93"/>
    <w:rsid w:val="00752A23"/>
    <w:rsid w:val="00763A54"/>
    <w:rsid w:val="00807C63"/>
    <w:rsid w:val="00817E9A"/>
    <w:rsid w:val="008614EA"/>
    <w:rsid w:val="00866AEA"/>
    <w:rsid w:val="009D2A59"/>
    <w:rsid w:val="009D726C"/>
    <w:rsid w:val="009E0BEF"/>
    <w:rsid w:val="009E256C"/>
    <w:rsid w:val="009E7A52"/>
    <w:rsid w:val="00A5612B"/>
    <w:rsid w:val="00A623BA"/>
    <w:rsid w:val="00AA2A76"/>
    <w:rsid w:val="00AC2332"/>
    <w:rsid w:val="00B17EA6"/>
    <w:rsid w:val="00B229AB"/>
    <w:rsid w:val="00B43CE2"/>
    <w:rsid w:val="00B84D2E"/>
    <w:rsid w:val="00BB767D"/>
    <w:rsid w:val="00BC6C36"/>
    <w:rsid w:val="00BD38FD"/>
    <w:rsid w:val="00BE0DA2"/>
    <w:rsid w:val="00C06D15"/>
    <w:rsid w:val="00C222B3"/>
    <w:rsid w:val="00C37F34"/>
    <w:rsid w:val="00C712D8"/>
    <w:rsid w:val="00CA6926"/>
    <w:rsid w:val="00CB69AD"/>
    <w:rsid w:val="00CE1469"/>
    <w:rsid w:val="00CF740D"/>
    <w:rsid w:val="00D03460"/>
    <w:rsid w:val="00D135A6"/>
    <w:rsid w:val="00D359C5"/>
    <w:rsid w:val="00D81B72"/>
    <w:rsid w:val="00D943B6"/>
    <w:rsid w:val="00DF30B4"/>
    <w:rsid w:val="00E63CB6"/>
    <w:rsid w:val="00E75D1F"/>
    <w:rsid w:val="00E93A51"/>
    <w:rsid w:val="00EA65FE"/>
    <w:rsid w:val="00EC3B80"/>
    <w:rsid w:val="00EE773B"/>
    <w:rsid w:val="00F22DFD"/>
    <w:rsid w:val="00F27D6F"/>
    <w:rsid w:val="00F54B3B"/>
    <w:rsid w:val="00F73C10"/>
    <w:rsid w:val="00FB5204"/>
    <w:rsid w:val="00F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/>
      <v:stroke on="f"/>
      <o:colormenu v:ext="edit" fillcolor="#ff9" strokecolor="none"/>
    </o:shapedefaults>
    <o:shapelayout v:ext="edit">
      <o:idmap v:ext="edit" data="1"/>
    </o:shapelayout>
  </w:shapeDefaults>
  <w:decimalSymbol w:val="."/>
  <w:listSeparator w:val=","/>
  <w14:docId w14:val="5220F9D7"/>
  <w15:chartTrackingRefBased/>
  <w15:docId w15:val="{A7E1BEEB-E2A0-4EEC-8D16-5A301131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pPr>
      <w:keepNext/>
      <w:ind w:firstLine="360"/>
      <w:jc w:val="both"/>
      <w:outlineLvl w:val="1"/>
    </w:pPr>
    <w:rPr>
      <w:rFonts w:ascii="Bookman Old Style" w:hAnsi="Bookman Old Style"/>
      <w:b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jc w:val="both"/>
    </w:pPr>
    <w:rPr>
      <w:rFonts w:ascii="Bookman Old Style" w:hAnsi="Bookman Old Style"/>
      <w:sz w:val="24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360"/>
        <w:tab w:val="num" w:pos="1080"/>
      </w:tabs>
      <w:ind w:left="1080"/>
    </w:pPr>
  </w:style>
  <w:style w:type="paragraph" w:styleId="BodyTextIndent">
    <w:name w:val="Body Text Indent"/>
    <w:basedOn w:val="Normal"/>
    <w:pPr>
      <w:ind w:left="360"/>
    </w:pPr>
    <w:rPr>
      <w:rFonts w:ascii="Bookman Old Style" w:hAnsi="Bookman Old Style"/>
      <w:sz w:val="16"/>
    </w:rPr>
  </w:style>
  <w:style w:type="paragraph" w:styleId="BodyTextIndent2">
    <w:name w:val="Body Text Indent 2"/>
    <w:basedOn w:val="Normal"/>
    <w:pPr>
      <w:ind w:left="360"/>
    </w:pPr>
  </w:style>
  <w:style w:type="paragraph" w:styleId="BodyTextIndent3">
    <w:name w:val="Body Text Indent 3"/>
    <w:basedOn w:val="Normal"/>
    <w:pPr>
      <w:ind w:left="360"/>
      <w:jc w:val="both"/>
    </w:pPr>
    <w:rPr>
      <w:i/>
      <w:iCs/>
      <w:sz w:val="18"/>
    </w:rPr>
  </w:style>
  <w:style w:type="paragraph" w:styleId="BodyText">
    <w:name w:val="Body Text"/>
    <w:basedOn w:val="Normal"/>
    <w:rPr>
      <w:rFonts w:ascii="Bookman Old Style" w:hAnsi="Bookman Old Style"/>
      <w:b/>
      <w:bCs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Appraisal Preparation Seminar</vt:lpstr>
    </vt:vector>
  </TitlesOfParts>
  <Company>Process Focus Software, Inc.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Appraisal Preparation Seminar</dc:title>
  <dc:subject>Training Description Template</dc:subject>
  <dc:creator>Jack Lawrence</dc:creator>
  <cp:keywords>Training, seminar, appraisal preparation</cp:keywords>
  <cp:lastModifiedBy>Paul Byrnes</cp:lastModifiedBy>
  <cp:revision>3</cp:revision>
  <cp:lastPrinted>2007-05-10T23:39:00Z</cp:lastPrinted>
  <dcterms:created xsi:type="dcterms:W3CDTF">2025-05-27T19:36:00Z</dcterms:created>
  <dcterms:modified xsi:type="dcterms:W3CDTF">2025-05-27T19:37:00Z</dcterms:modified>
  <cp:category>Training</cp:category>
</cp:coreProperties>
</file>